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459" w:rsidRPr="003B50D1" w:rsidRDefault="00013B89" w:rsidP="00013B89">
      <w:pPr>
        <w:pStyle w:val="Heading1"/>
        <w:jc w:val="center"/>
        <w:rPr>
          <w:rFonts w:ascii="Calibri" w:hAnsi="Calibri"/>
          <w:sz w:val="28"/>
          <w:szCs w:val="28"/>
        </w:rPr>
      </w:pPr>
      <w:bookmarkStart w:id="0" w:name="_GoBack"/>
      <w:bookmarkEnd w:id="0"/>
      <w:r w:rsidRPr="003B50D1">
        <w:rPr>
          <w:rFonts w:ascii="Calibri" w:hAnsi="Calibri"/>
          <w:sz w:val="28"/>
          <w:szCs w:val="28"/>
        </w:rPr>
        <w:t>SAMPLE PROCLAMATION</w:t>
      </w:r>
    </w:p>
    <w:p w:rsidR="00013B89" w:rsidRPr="003B50D1" w:rsidRDefault="00013B89" w:rsidP="00013B89">
      <w:pPr>
        <w:rPr>
          <w:rFonts w:ascii="Calibri" w:hAnsi="Calibri"/>
          <w:sz w:val="22"/>
          <w:szCs w:val="22"/>
        </w:rPr>
      </w:pPr>
    </w:p>
    <w:p w:rsidR="00013B89" w:rsidRPr="003B50D1" w:rsidRDefault="00013B89" w:rsidP="00013B89">
      <w:pPr>
        <w:rPr>
          <w:rFonts w:ascii="Calibri" w:eastAsia="ヒラギノ角ゴ Pro W3" w:hAnsi="Calibri" w:cs="Calibri"/>
          <w:sz w:val="22"/>
          <w:szCs w:val="22"/>
        </w:rPr>
      </w:pPr>
      <w:r w:rsidRPr="003B50D1">
        <w:rPr>
          <w:rFonts w:ascii="Calibri" w:eastAsia="ヒラギノ角ゴ Pro W3" w:hAnsi="Calibri" w:cs="Calibri"/>
          <w:sz w:val="22"/>
          <w:szCs w:val="22"/>
        </w:rPr>
        <w:t xml:space="preserve">Whereas: </w:t>
      </w:r>
      <w:r w:rsidRPr="003B50D1">
        <w:rPr>
          <w:rFonts w:ascii="Calibri" w:hAnsi="Calibri" w:cs="Calibri"/>
          <w:sz w:val="22"/>
          <w:szCs w:val="22"/>
        </w:rPr>
        <w:t>Giving babies the recommended immunizations by age two is the best way to protect them from 14 serious childhood diseases</w:t>
      </w:r>
      <w:r w:rsidRPr="003B50D1">
        <w:rPr>
          <w:rFonts w:ascii="Calibri" w:eastAsia="ヒラギノ角ゴ Pro W3" w:hAnsi="Calibri" w:cs="Calibri"/>
          <w:sz w:val="22"/>
          <w:szCs w:val="22"/>
        </w:rPr>
        <w:t>.</w:t>
      </w:r>
    </w:p>
    <w:p w:rsidR="00013B89" w:rsidRPr="003B50D1" w:rsidRDefault="00013B89" w:rsidP="00013B89">
      <w:pPr>
        <w:rPr>
          <w:rFonts w:ascii="Calibri" w:eastAsia="ヒラギノ角ゴ Pro W3" w:hAnsi="Calibri" w:cs="Calibri"/>
          <w:sz w:val="22"/>
          <w:szCs w:val="22"/>
        </w:rPr>
      </w:pPr>
    </w:p>
    <w:p w:rsidR="00013B89" w:rsidRPr="003B50D1" w:rsidRDefault="00013B89" w:rsidP="00013B89">
      <w:pPr>
        <w:rPr>
          <w:rFonts w:ascii="Calibri" w:hAnsi="Calibri" w:cs="Calibri"/>
          <w:sz w:val="22"/>
          <w:szCs w:val="22"/>
        </w:rPr>
      </w:pPr>
      <w:r w:rsidRPr="003B50D1">
        <w:rPr>
          <w:rFonts w:ascii="Calibri" w:hAnsi="Calibri" w:cs="Calibri"/>
          <w:sz w:val="22"/>
          <w:szCs w:val="22"/>
        </w:rPr>
        <w:t>Whereas: Currently, the United States has the safest vaccine supply in its history.</w:t>
      </w:r>
    </w:p>
    <w:p w:rsidR="00013B89" w:rsidRPr="003B50D1" w:rsidRDefault="00013B89" w:rsidP="00013B89">
      <w:pPr>
        <w:rPr>
          <w:rFonts w:ascii="Calibri" w:hAnsi="Calibri" w:cs="Calibri"/>
          <w:sz w:val="22"/>
          <w:szCs w:val="22"/>
        </w:rPr>
      </w:pPr>
    </w:p>
    <w:p w:rsidR="00013B89" w:rsidRPr="003B50D1" w:rsidRDefault="00013B89" w:rsidP="00013B89">
      <w:pPr>
        <w:rPr>
          <w:rFonts w:ascii="Calibri" w:hAnsi="Calibri" w:cs="Calibri"/>
          <w:sz w:val="22"/>
          <w:szCs w:val="22"/>
        </w:rPr>
      </w:pPr>
      <w:r w:rsidRPr="003B50D1">
        <w:rPr>
          <w:rFonts w:ascii="Calibri" w:hAnsi="Calibri" w:cs="Calibri"/>
          <w:sz w:val="22"/>
          <w:szCs w:val="22"/>
        </w:rPr>
        <w:t>Whereas: Vaccine-preventable diseases still circulate in the United States and around the world, so continued vaccination is necessary to protect everyone from potential outbreaks. Even when diseases are rare in the U.S., they can be brought into the country, putting unvaccinated children at risk.</w:t>
      </w:r>
    </w:p>
    <w:p w:rsidR="00013B89" w:rsidRPr="003B50D1" w:rsidRDefault="00013B89" w:rsidP="00013B89">
      <w:pPr>
        <w:rPr>
          <w:rFonts w:ascii="Calibri" w:hAnsi="Calibri" w:cs="Calibri"/>
          <w:sz w:val="22"/>
          <w:szCs w:val="22"/>
        </w:rPr>
      </w:pPr>
      <w:r w:rsidRPr="003B50D1">
        <w:rPr>
          <w:rFonts w:ascii="Calibri" w:hAnsi="Calibri" w:cs="Calibri"/>
          <w:sz w:val="22"/>
          <w:szCs w:val="22"/>
        </w:rPr>
        <w:t xml:space="preserve"> </w:t>
      </w:r>
    </w:p>
    <w:p w:rsidR="00013B89" w:rsidRPr="003B50D1" w:rsidRDefault="00013B89" w:rsidP="00013B89">
      <w:pPr>
        <w:rPr>
          <w:rFonts w:ascii="Calibri" w:hAnsi="Calibri" w:cs="Calibri"/>
          <w:sz w:val="22"/>
          <w:szCs w:val="22"/>
        </w:rPr>
      </w:pPr>
      <w:r w:rsidRPr="003B50D1">
        <w:rPr>
          <w:rFonts w:ascii="Calibri" w:hAnsi="Calibri" w:cs="Calibri"/>
          <w:sz w:val="22"/>
          <w:szCs w:val="22"/>
        </w:rPr>
        <w:t xml:space="preserve">Whereas: Most parents vaccinate their children, resulting in high vaccine coverage rates in the U.S. </w:t>
      </w:r>
    </w:p>
    <w:p w:rsidR="00013B89" w:rsidRPr="003B50D1" w:rsidRDefault="00013B89" w:rsidP="00013B89">
      <w:pPr>
        <w:rPr>
          <w:rFonts w:ascii="Calibri" w:hAnsi="Calibri" w:cs="Calibri"/>
          <w:sz w:val="22"/>
          <w:szCs w:val="22"/>
        </w:rPr>
      </w:pPr>
    </w:p>
    <w:p w:rsidR="00013B89" w:rsidRPr="003B50D1" w:rsidRDefault="00013B89" w:rsidP="00013B89">
      <w:pPr>
        <w:rPr>
          <w:rFonts w:ascii="Calibri" w:hAnsi="Calibri" w:cs="Calibri"/>
          <w:bCs/>
          <w:sz w:val="22"/>
          <w:szCs w:val="22"/>
        </w:rPr>
      </w:pPr>
      <w:r w:rsidRPr="003B50D1">
        <w:rPr>
          <w:rFonts w:ascii="Calibri" w:hAnsi="Calibri" w:cs="Calibri"/>
          <w:sz w:val="22"/>
          <w:szCs w:val="22"/>
        </w:rPr>
        <w:t>Whereas: When people are unvaccinated, outbreaks of diseases like pertussis (whooping cough) and measles can—</w:t>
      </w:r>
      <w:r w:rsidR="008479C1">
        <w:rPr>
          <w:rFonts w:ascii="Calibri" w:hAnsi="Calibri" w:cs="Calibri"/>
          <w:sz w:val="22"/>
          <w:szCs w:val="22"/>
        </w:rPr>
        <w:t>and do—return.</w:t>
      </w:r>
    </w:p>
    <w:p w:rsidR="00013B89" w:rsidRPr="003B50D1" w:rsidRDefault="00013B89" w:rsidP="00013B89">
      <w:pPr>
        <w:rPr>
          <w:rFonts w:ascii="Calibri" w:hAnsi="Calibri" w:cs="Calibri"/>
          <w:bCs/>
          <w:sz w:val="22"/>
          <w:szCs w:val="22"/>
        </w:rPr>
      </w:pPr>
    </w:p>
    <w:p w:rsidR="00013B89" w:rsidRPr="003B50D1" w:rsidRDefault="00013B89" w:rsidP="00013B89">
      <w:pPr>
        <w:rPr>
          <w:rFonts w:ascii="Calibri" w:hAnsi="Calibri" w:cs="Calibri"/>
          <w:bCs/>
          <w:sz w:val="22"/>
          <w:szCs w:val="22"/>
        </w:rPr>
      </w:pPr>
      <w:r w:rsidRPr="003B50D1">
        <w:rPr>
          <w:rFonts w:ascii="Calibri" w:hAnsi="Calibri" w:cs="Calibri"/>
          <w:bCs/>
          <w:sz w:val="22"/>
          <w:szCs w:val="22"/>
        </w:rPr>
        <w:t xml:space="preserve">Whereas: It is important to vaccinate children on time, according to the childhood immunization schedule, to provide the best protection early in life, when babies are vulnerable and before they are likely to be exposed to diseases. </w:t>
      </w:r>
    </w:p>
    <w:p w:rsidR="00013B89" w:rsidRPr="003B50D1" w:rsidRDefault="00013B89" w:rsidP="00013B89">
      <w:pPr>
        <w:rPr>
          <w:rFonts w:ascii="Calibri" w:hAnsi="Calibri" w:cs="Calibri"/>
          <w:bCs/>
          <w:sz w:val="22"/>
          <w:szCs w:val="22"/>
        </w:rPr>
      </w:pPr>
    </w:p>
    <w:p w:rsidR="00013B89" w:rsidRPr="003B50D1" w:rsidRDefault="00013B89" w:rsidP="00013B89">
      <w:pPr>
        <w:rPr>
          <w:rFonts w:ascii="Calibri" w:eastAsia="Times New Roman" w:hAnsi="Calibri" w:cs="Calibri"/>
          <w:sz w:val="22"/>
          <w:szCs w:val="22"/>
        </w:rPr>
      </w:pPr>
      <w:r w:rsidRPr="003B50D1">
        <w:rPr>
          <w:rFonts w:ascii="Calibri" w:hAnsi="Calibri" w:cs="Calibri"/>
          <w:bCs/>
          <w:sz w:val="22"/>
          <w:szCs w:val="22"/>
        </w:rPr>
        <w:t>Whe</w:t>
      </w:r>
      <w:r w:rsidR="007976B0">
        <w:rPr>
          <w:rFonts w:ascii="Calibri" w:hAnsi="Calibri" w:cs="Calibri"/>
          <w:bCs/>
          <w:sz w:val="22"/>
          <w:szCs w:val="22"/>
        </w:rPr>
        <w:t xml:space="preserve">reas: </w:t>
      </w:r>
      <w:r w:rsidR="00F93ED7">
        <w:rPr>
          <w:rFonts w:ascii="Calibri" w:hAnsi="Calibri" w:cs="Calibri"/>
          <w:bCs/>
          <w:sz w:val="22"/>
          <w:szCs w:val="22"/>
        </w:rPr>
        <w:t>Since 1994</w:t>
      </w:r>
      <w:r w:rsidRPr="003B50D1">
        <w:rPr>
          <w:rFonts w:ascii="Calibri" w:hAnsi="Calibri" w:cs="Calibri"/>
          <w:bCs/>
          <w:sz w:val="22"/>
          <w:szCs w:val="22"/>
        </w:rPr>
        <w:t xml:space="preserve">, National Infant Immunization Week has </w:t>
      </w:r>
      <w:r w:rsidRPr="003B50D1">
        <w:rPr>
          <w:rFonts w:ascii="Calibri" w:eastAsia="Times New Roman" w:hAnsi="Calibri" w:cs="Calibri"/>
          <w:sz w:val="22"/>
          <w:szCs w:val="22"/>
        </w:rPr>
        <w:t>encouraged parents, caregivers, and health care professionals to participate in educational, recognition, and media events to increase the awareness of the importance of immunizing children before their second birthday.</w:t>
      </w:r>
    </w:p>
    <w:p w:rsidR="00013B89" w:rsidRPr="003B50D1" w:rsidRDefault="00013B89" w:rsidP="00013B89">
      <w:pPr>
        <w:rPr>
          <w:rFonts w:ascii="Calibri" w:hAnsi="Calibri" w:cs="Calibri"/>
          <w:bCs/>
          <w:sz w:val="22"/>
          <w:szCs w:val="22"/>
        </w:rPr>
      </w:pPr>
    </w:p>
    <w:p w:rsidR="00013B89" w:rsidRPr="003B50D1" w:rsidRDefault="00013B89" w:rsidP="00013B89">
      <w:pPr>
        <w:rPr>
          <w:rFonts w:ascii="Calibri" w:hAnsi="Calibri" w:cs="Calibri"/>
          <w:sz w:val="22"/>
          <w:szCs w:val="22"/>
        </w:rPr>
      </w:pPr>
      <w:r w:rsidRPr="003B50D1">
        <w:rPr>
          <w:rFonts w:ascii="Calibri" w:hAnsi="Calibri" w:cs="Calibri"/>
          <w:sz w:val="22"/>
          <w:szCs w:val="22"/>
        </w:rPr>
        <w:t>Whereas: This year, National Infant Immunization Week will be celebrated as part of World immunization Week, an initiative of the World Health Organization (WHO) where all six WHO regions, including more than 180 Member States, territories, and areas will simultaneously promote immunization, advance equity in the use of vaccines and universal access to vaccination services, and enable cooperation on cross-border immun</w:t>
      </w:r>
      <w:r w:rsidR="007976B0">
        <w:rPr>
          <w:rFonts w:ascii="Calibri" w:hAnsi="Calibri" w:cs="Calibri"/>
          <w:sz w:val="22"/>
          <w:szCs w:val="22"/>
        </w:rPr>
        <w:t xml:space="preserve">ization activities in April </w:t>
      </w:r>
      <w:r w:rsidR="00AA44CE">
        <w:rPr>
          <w:rFonts w:ascii="Calibri" w:hAnsi="Calibri" w:cs="Calibri"/>
          <w:sz w:val="22"/>
          <w:szCs w:val="22"/>
        </w:rPr>
        <w:t>201</w:t>
      </w:r>
      <w:r w:rsidR="00F652A2">
        <w:rPr>
          <w:rFonts w:ascii="Calibri" w:hAnsi="Calibri" w:cs="Calibri"/>
          <w:sz w:val="22"/>
          <w:szCs w:val="22"/>
        </w:rPr>
        <w:t>7</w:t>
      </w:r>
      <w:r w:rsidRPr="003B50D1">
        <w:rPr>
          <w:rFonts w:ascii="Calibri" w:hAnsi="Calibri" w:cs="Calibri"/>
          <w:sz w:val="22"/>
          <w:szCs w:val="22"/>
        </w:rPr>
        <w:t>.</w:t>
      </w:r>
    </w:p>
    <w:p w:rsidR="00013B89" w:rsidRPr="003B50D1" w:rsidRDefault="00013B89" w:rsidP="00013B89">
      <w:pPr>
        <w:rPr>
          <w:rFonts w:ascii="Calibri" w:hAnsi="Calibri" w:cs="Calibri"/>
          <w:bCs/>
          <w:sz w:val="22"/>
          <w:szCs w:val="22"/>
        </w:rPr>
      </w:pPr>
    </w:p>
    <w:p w:rsidR="00013B89" w:rsidRPr="003B50D1" w:rsidRDefault="00013B89" w:rsidP="00013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eastAsia="Times New Roman" w:hAnsi="Calibri" w:cs="Calibri"/>
          <w:sz w:val="22"/>
          <w:szCs w:val="22"/>
        </w:rPr>
      </w:pPr>
      <w:r w:rsidRPr="003B50D1">
        <w:rPr>
          <w:rFonts w:ascii="Calibri" w:hAnsi="Calibri" w:cs="Calibri"/>
          <w:bCs/>
          <w:sz w:val="22"/>
          <w:szCs w:val="22"/>
        </w:rPr>
        <w:t xml:space="preserve">Whereas: </w:t>
      </w:r>
      <w:r w:rsidR="007976B0">
        <w:rPr>
          <w:rFonts w:ascii="Calibri" w:eastAsia="Times New Roman" w:hAnsi="Calibri" w:cs="Calibri"/>
          <w:sz w:val="22"/>
          <w:szCs w:val="22"/>
        </w:rPr>
        <w:t xml:space="preserve">The week of </w:t>
      </w:r>
      <w:r w:rsidR="00F652A2">
        <w:rPr>
          <w:rFonts w:ascii="Calibri" w:eastAsia="Times New Roman" w:hAnsi="Calibri" w:cs="Calibri"/>
          <w:sz w:val="22"/>
          <w:szCs w:val="22"/>
        </w:rPr>
        <w:t>April 22-29, 2017</w:t>
      </w:r>
      <w:r w:rsidRPr="003B50D1">
        <w:rPr>
          <w:rFonts w:ascii="Calibri" w:eastAsia="Times New Roman" w:hAnsi="Calibri" w:cs="Calibri"/>
          <w:sz w:val="22"/>
          <w:szCs w:val="22"/>
        </w:rPr>
        <w:t xml:space="preserve">, has been declared National Infant Immunization Week to help ensure that children </w:t>
      </w:r>
      <w:r w:rsidRPr="003B50D1">
        <w:rPr>
          <w:rFonts w:ascii="Calibri" w:hAnsi="Calibri" w:cs="Calibri"/>
          <w:sz w:val="22"/>
          <w:szCs w:val="22"/>
        </w:rPr>
        <w:t>should be protected against 14 vaccine-preventable diseases by the age of two</w:t>
      </w:r>
      <w:r w:rsidRPr="003B50D1">
        <w:rPr>
          <w:rFonts w:ascii="Calibri" w:eastAsia="Times New Roman" w:hAnsi="Calibri" w:cs="Calibri"/>
          <w:sz w:val="22"/>
          <w:szCs w:val="22"/>
        </w:rPr>
        <w:t>.</w:t>
      </w:r>
    </w:p>
    <w:p w:rsidR="00013B89" w:rsidRPr="003B50D1" w:rsidRDefault="00013B89" w:rsidP="00013B89">
      <w:pPr>
        <w:rPr>
          <w:rFonts w:ascii="Calibri" w:hAnsi="Calibri" w:cs="Calibri"/>
          <w:sz w:val="22"/>
          <w:szCs w:val="22"/>
        </w:rPr>
      </w:pPr>
    </w:p>
    <w:p w:rsidR="00013B89" w:rsidRPr="003B50D1" w:rsidRDefault="00013B89" w:rsidP="00013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szCs w:val="22"/>
        </w:rPr>
      </w:pPr>
      <w:r w:rsidRPr="003B50D1">
        <w:rPr>
          <w:rFonts w:ascii="Calibri" w:eastAsia="Times New Roman" w:hAnsi="Calibri" w:cs="Calibri"/>
          <w:sz w:val="22"/>
          <w:szCs w:val="22"/>
        </w:rPr>
        <w:t xml:space="preserve">NOW, THEREFORE, I, (Governor/Mayor) of (state/city), do hereby proclaim the week of </w:t>
      </w:r>
      <w:r w:rsidR="00C365FE">
        <w:rPr>
          <w:rFonts w:ascii="Calibri" w:eastAsia="Times New Roman" w:hAnsi="Calibri" w:cs="Calibri"/>
          <w:sz w:val="22"/>
          <w:szCs w:val="22"/>
        </w:rPr>
        <w:t xml:space="preserve">April </w:t>
      </w:r>
      <w:r w:rsidR="00F652A2">
        <w:rPr>
          <w:rFonts w:ascii="Calibri" w:eastAsia="Times New Roman" w:hAnsi="Calibri" w:cs="Calibri"/>
          <w:sz w:val="22"/>
          <w:szCs w:val="22"/>
        </w:rPr>
        <w:t>22-29, 2017</w:t>
      </w:r>
      <w:r w:rsidRPr="003B50D1">
        <w:rPr>
          <w:rFonts w:ascii="Calibri" w:eastAsia="Times New Roman" w:hAnsi="Calibri" w:cs="Calibri"/>
          <w:sz w:val="22"/>
          <w:szCs w:val="22"/>
        </w:rPr>
        <w:t xml:space="preserve"> as INFANT IMMUNIZATION AWARENESS WEEK IN (state/city/county) and e</w:t>
      </w:r>
      <w:r w:rsidRPr="003B50D1">
        <w:rPr>
          <w:rFonts w:ascii="Calibri" w:hAnsi="Calibri" w:cs="Calibri"/>
          <w:sz w:val="22"/>
          <w:szCs w:val="22"/>
        </w:rPr>
        <w:t xml:space="preserve">ncourage parents to make vaccinating their children a priority and to talk to family and friends about protecting their children with vaccines. I also encourage businesses, government agencies, community-based </w:t>
      </w:r>
      <w:r w:rsidR="007B538F">
        <w:rPr>
          <w:rFonts w:ascii="Calibri" w:hAnsi="Calibri" w:cs="Calibri"/>
          <w:sz w:val="22"/>
          <w:szCs w:val="22"/>
        </w:rPr>
        <w:t>o</w:t>
      </w:r>
      <w:r w:rsidRPr="003B50D1">
        <w:rPr>
          <w:rFonts w:ascii="Calibri" w:hAnsi="Calibri" w:cs="Calibri"/>
          <w:sz w:val="22"/>
          <w:szCs w:val="22"/>
        </w:rPr>
        <w:t>rganizations, and service groups to spread the immunization message throughout their communities.</w:t>
      </w:r>
    </w:p>
    <w:p w:rsidR="00013B89" w:rsidRPr="003B50D1" w:rsidRDefault="00013B89" w:rsidP="00013B89">
      <w:pPr>
        <w:rPr>
          <w:rFonts w:ascii="Calibri" w:hAnsi="Calibri" w:cs="Calibri"/>
          <w:sz w:val="22"/>
          <w:szCs w:val="22"/>
        </w:rPr>
      </w:pPr>
    </w:p>
    <w:p w:rsidR="009A2495" w:rsidRPr="003B50D1" w:rsidRDefault="009A2495" w:rsidP="00013B89">
      <w:pPr>
        <w:rPr>
          <w:rFonts w:ascii="Calibri" w:hAnsi="Calibri" w:cs="Calibri"/>
          <w:sz w:val="22"/>
          <w:szCs w:val="22"/>
        </w:rPr>
      </w:pPr>
    </w:p>
    <w:p w:rsidR="00013B89" w:rsidRPr="003B50D1" w:rsidRDefault="00013B89" w:rsidP="00013B89">
      <w:pPr>
        <w:rPr>
          <w:rFonts w:ascii="Calibri" w:eastAsia="Times New Roman" w:hAnsi="Calibri" w:cs="Calibri"/>
          <w:sz w:val="22"/>
          <w:szCs w:val="22"/>
        </w:rPr>
      </w:pPr>
      <w:r w:rsidRPr="003B50D1">
        <w:rPr>
          <w:rFonts w:ascii="Calibri" w:eastAsia="Times New Roman" w:hAnsi="Calibri" w:cs="Calibri"/>
          <w:sz w:val="22"/>
          <w:szCs w:val="22"/>
        </w:rPr>
        <w:t>DATED: Signed by (Governor/Mayor) ___________________________</w:t>
      </w:r>
    </w:p>
    <w:p w:rsidR="00013B89" w:rsidRPr="003B50D1" w:rsidRDefault="00013B89" w:rsidP="00013B89">
      <w:pPr>
        <w:rPr>
          <w:rFonts w:ascii="Calibri" w:hAnsi="Calibri" w:cs="Calibri"/>
          <w:sz w:val="22"/>
          <w:szCs w:val="22"/>
        </w:rPr>
      </w:pPr>
    </w:p>
    <w:p w:rsidR="00013B89" w:rsidRPr="003B50D1" w:rsidRDefault="00013B89" w:rsidP="00013B89">
      <w:pPr>
        <w:rPr>
          <w:rFonts w:ascii="Calibri" w:hAnsi="Calibri"/>
          <w:sz w:val="22"/>
          <w:szCs w:val="22"/>
        </w:rPr>
      </w:pPr>
      <w:r w:rsidRPr="003B50D1">
        <w:rPr>
          <w:rFonts w:ascii="Calibri" w:hAnsi="Calibri"/>
          <w:color w:val="000000"/>
          <w:sz w:val="18"/>
          <w:szCs w:val="18"/>
        </w:rPr>
        <w:t xml:space="preserve">This document can be found on the CDC website at: </w:t>
      </w:r>
      <w:hyperlink r:id="rId8" w:tooltip="https://www.cdc.gov/vaccines/events/niiw/index.html" w:history="1">
        <w:r w:rsidR="00A656C4">
          <w:rPr>
            <w:rStyle w:val="Hyperlink"/>
            <w:rFonts w:ascii="Calibri" w:hAnsi="Calibri"/>
            <w:sz w:val="18"/>
            <w:szCs w:val="18"/>
          </w:rPr>
          <w:t>www.cdc.gov/vaccines/events/niiw/index.htm (NIIW events)</w:t>
        </w:r>
      </w:hyperlink>
      <w:r w:rsidR="00A11ECB">
        <w:rPr>
          <w:rFonts w:ascii="Calibri" w:hAnsi="Calibri"/>
          <w:color w:val="000000"/>
          <w:sz w:val="18"/>
          <w:szCs w:val="18"/>
        </w:rPr>
        <w:t xml:space="preserve"> </w:t>
      </w:r>
    </w:p>
    <w:sectPr w:rsidR="00013B89" w:rsidRPr="003B50D1" w:rsidSect="00320DA1">
      <w:headerReference w:type="default" r:id="rId9"/>
      <w:footerReference w:type="even" r:id="rId10"/>
      <w:type w:val="continuous"/>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08C" w:rsidRDefault="008C508C">
      <w:r>
        <w:separator/>
      </w:r>
    </w:p>
  </w:endnote>
  <w:endnote w:type="continuationSeparator" w:id="0">
    <w:p w:rsidR="008C508C" w:rsidRDefault="008C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ヒラギノ角ゴ Pro W3">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6B0" w:rsidRDefault="007976B0" w:rsidP="00B47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76B0" w:rsidRDefault="007976B0" w:rsidP="00B473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08C" w:rsidRDefault="008C508C">
      <w:r>
        <w:separator/>
      </w:r>
    </w:p>
  </w:footnote>
  <w:footnote w:type="continuationSeparator" w:id="0">
    <w:p w:rsidR="008C508C" w:rsidRDefault="008C5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6B0" w:rsidRDefault="005441CB" w:rsidP="00F652A2">
    <w:pPr>
      <w:pStyle w:val="Header"/>
    </w:pPr>
    <w:r>
      <w:rPr>
        <w:noProof/>
        <w:lang w:eastAsia="en-US"/>
      </w:rPr>
      <w:drawing>
        <wp:inline distT="0" distB="0" distL="0" distR="0">
          <wp:extent cx="6591300" cy="847725"/>
          <wp:effectExtent l="0" t="0" r="0" b="9525"/>
          <wp:docPr id="2" name="Picture 1" descr="2017 NIIW_web-banner_468x60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 NIIW_web-banner_468x60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F9D"/>
    <w:multiLevelType w:val="hybridMultilevel"/>
    <w:tmpl w:val="022A6EEA"/>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B03D0D"/>
    <w:multiLevelType w:val="hybridMultilevel"/>
    <w:tmpl w:val="DB32B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F2DAF"/>
    <w:multiLevelType w:val="hybridMultilevel"/>
    <w:tmpl w:val="A5764BCC"/>
    <w:lvl w:ilvl="0" w:tplc="22A8D2EC">
      <w:start w:val="1"/>
      <w:numFmt w:val="bullet"/>
      <w:lvlText w:val=""/>
      <w:lvlJc w:val="left"/>
      <w:pPr>
        <w:tabs>
          <w:tab w:val="num" w:pos="720"/>
        </w:tabs>
        <w:ind w:left="720" w:hanging="360"/>
      </w:pPr>
      <w:rPr>
        <w:rFonts w:ascii="Wingdings" w:hAnsi="Wingdings" w:hint="default"/>
      </w:rPr>
    </w:lvl>
    <w:lvl w:ilvl="1" w:tplc="3064C550">
      <w:start w:val="3338"/>
      <w:numFmt w:val="bullet"/>
      <w:lvlText w:val=""/>
      <w:lvlJc w:val="left"/>
      <w:pPr>
        <w:tabs>
          <w:tab w:val="num" w:pos="1440"/>
        </w:tabs>
        <w:ind w:left="1440" w:hanging="360"/>
      </w:pPr>
      <w:rPr>
        <w:rFonts w:ascii="Wingdings" w:hAnsi="Wingdings" w:hint="default"/>
      </w:rPr>
    </w:lvl>
    <w:lvl w:ilvl="2" w:tplc="2C8A28CA" w:tentative="1">
      <w:start w:val="1"/>
      <w:numFmt w:val="bullet"/>
      <w:lvlText w:val=""/>
      <w:lvlJc w:val="left"/>
      <w:pPr>
        <w:tabs>
          <w:tab w:val="num" w:pos="2160"/>
        </w:tabs>
        <w:ind w:left="2160" w:hanging="360"/>
      </w:pPr>
      <w:rPr>
        <w:rFonts w:ascii="Wingdings" w:hAnsi="Wingdings" w:hint="default"/>
      </w:rPr>
    </w:lvl>
    <w:lvl w:ilvl="3" w:tplc="2E50028C" w:tentative="1">
      <w:start w:val="1"/>
      <w:numFmt w:val="bullet"/>
      <w:lvlText w:val=""/>
      <w:lvlJc w:val="left"/>
      <w:pPr>
        <w:tabs>
          <w:tab w:val="num" w:pos="2880"/>
        </w:tabs>
        <w:ind w:left="2880" w:hanging="360"/>
      </w:pPr>
      <w:rPr>
        <w:rFonts w:ascii="Wingdings" w:hAnsi="Wingdings" w:hint="default"/>
      </w:rPr>
    </w:lvl>
    <w:lvl w:ilvl="4" w:tplc="254E6DCE" w:tentative="1">
      <w:start w:val="1"/>
      <w:numFmt w:val="bullet"/>
      <w:lvlText w:val=""/>
      <w:lvlJc w:val="left"/>
      <w:pPr>
        <w:tabs>
          <w:tab w:val="num" w:pos="3600"/>
        </w:tabs>
        <w:ind w:left="3600" w:hanging="360"/>
      </w:pPr>
      <w:rPr>
        <w:rFonts w:ascii="Wingdings" w:hAnsi="Wingdings" w:hint="default"/>
      </w:rPr>
    </w:lvl>
    <w:lvl w:ilvl="5" w:tplc="E7984ED2" w:tentative="1">
      <w:start w:val="1"/>
      <w:numFmt w:val="bullet"/>
      <w:lvlText w:val=""/>
      <w:lvlJc w:val="left"/>
      <w:pPr>
        <w:tabs>
          <w:tab w:val="num" w:pos="4320"/>
        </w:tabs>
        <w:ind w:left="4320" w:hanging="360"/>
      </w:pPr>
      <w:rPr>
        <w:rFonts w:ascii="Wingdings" w:hAnsi="Wingdings" w:hint="default"/>
      </w:rPr>
    </w:lvl>
    <w:lvl w:ilvl="6" w:tplc="496057B8" w:tentative="1">
      <w:start w:val="1"/>
      <w:numFmt w:val="bullet"/>
      <w:lvlText w:val=""/>
      <w:lvlJc w:val="left"/>
      <w:pPr>
        <w:tabs>
          <w:tab w:val="num" w:pos="5040"/>
        </w:tabs>
        <w:ind w:left="5040" w:hanging="360"/>
      </w:pPr>
      <w:rPr>
        <w:rFonts w:ascii="Wingdings" w:hAnsi="Wingdings" w:hint="default"/>
      </w:rPr>
    </w:lvl>
    <w:lvl w:ilvl="7" w:tplc="B298EB60" w:tentative="1">
      <w:start w:val="1"/>
      <w:numFmt w:val="bullet"/>
      <w:lvlText w:val=""/>
      <w:lvlJc w:val="left"/>
      <w:pPr>
        <w:tabs>
          <w:tab w:val="num" w:pos="5760"/>
        </w:tabs>
        <w:ind w:left="5760" w:hanging="360"/>
      </w:pPr>
      <w:rPr>
        <w:rFonts w:ascii="Wingdings" w:hAnsi="Wingdings" w:hint="default"/>
      </w:rPr>
    </w:lvl>
    <w:lvl w:ilvl="8" w:tplc="6A0EF9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67351"/>
    <w:multiLevelType w:val="hybridMultilevel"/>
    <w:tmpl w:val="5A54AF40"/>
    <w:lvl w:ilvl="0" w:tplc="04090001">
      <w:start w:val="1"/>
      <w:numFmt w:val="bullet"/>
      <w:lvlText w:val=""/>
      <w:lvlJc w:val="left"/>
      <w:pPr>
        <w:tabs>
          <w:tab w:val="num" w:pos="888"/>
        </w:tabs>
        <w:ind w:left="888" w:hanging="360"/>
      </w:pPr>
      <w:rPr>
        <w:rFonts w:ascii="Symbol" w:hAnsi="Symbol" w:hint="default"/>
      </w:rPr>
    </w:lvl>
    <w:lvl w:ilvl="1" w:tplc="04090003" w:tentative="1">
      <w:start w:val="1"/>
      <w:numFmt w:val="bullet"/>
      <w:lvlText w:val="o"/>
      <w:lvlJc w:val="left"/>
      <w:pPr>
        <w:tabs>
          <w:tab w:val="num" w:pos="1608"/>
        </w:tabs>
        <w:ind w:left="1608" w:hanging="360"/>
      </w:pPr>
      <w:rPr>
        <w:rFonts w:ascii="Courier New" w:hAnsi="Courier New" w:cs="Courier New" w:hint="default"/>
      </w:rPr>
    </w:lvl>
    <w:lvl w:ilvl="2" w:tplc="04090005" w:tentative="1">
      <w:start w:val="1"/>
      <w:numFmt w:val="bullet"/>
      <w:lvlText w:val=""/>
      <w:lvlJc w:val="left"/>
      <w:pPr>
        <w:tabs>
          <w:tab w:val="num" w:pos="2328"/>
        </w:tabs>
        <w:ind w:left="2328" w:hanging="360"/>
      </w:pPr>
      <w:rPr>
        <w:rFonts w:ascii="Wingdings" w:hAnsi="Wingdings" w:hint="default"/>
      </w:rPr>
    </w:lvl>
    <w:lvl w:ilvl="3" w:tplc="04090001" w:tentative="1">
      <w:start w:val="1"/>
      <w:numFmt w:val="bullet"/>
      <w:lvlText w:val=""/>
      <w:lvlJc w:val="left"/>
      <w:pPr>
        <w:tabs>
          <w:tab w:val="num" w:pos="3048"/>
        </w:tabs>
        <w:ind w:left="3048" w:hanging="360"/>
      </w:pPr>
      <w:rPr>
        <w:rFonts w:ascii="Symbol" w:hAnsi="Symbol" w:hint="default"/>
      </w:rPr>
    </w:lvl>
    <w:lvl w:ilvl="4" w:tplc="04090003" w:tentative="1">
      <w:start w:val="1"/>
      <w:numFmt w:val="bullet"/>
      <w:lvlText w:val="o"/>
      <w:lvlJc w:val="left"/>
      <w:pPr>
        <w:tabs>
          <w:tab w:val="num" w:pos="3768"/>
        </w:tabs>
        <w:ind w:left="3768" w:hanging="360"/>
      </w:pPr>
      <w:rPr>
        <w:rFonts w:ascii="Courier New" w:hAnsi="Courier New" w:cs="Courier New" w:hint="default"/>
      </w:rPr>
    </w:lvl>
    <w:lvl w:ilvl="5" w:tplc="04090005" w:tentative="1">
      <w:start w:val="1"/>
      <w:numFmt w:val="bullet"/>
      <w:lvlText w:val=""/>
      <w:lvlJc w:val="left"/>
      <w:pPr>
        <w:tabs>
          <w:tab w:val="num" w:pos="4488"/>
        </w:tabs>
        <w:ind w:left="4488" w:hanging="360"/>
      </w:pPr>
      <w:rPr>
        <w:rFonts w:ascii="Wingdings" w:hAnsi="Wingdings" w:hint="default"/>
      </w:rPr>
    </w:lvl>
    <w:lvl w:ilvl="6" w:tplc="04090001" w:tentative="1">
      <w:start w:val="1"/>
      <w:numFmt w:val="bullet"/>
      <w:lvlText w:val=""/>
      <w:lvlJc w:val="left"/>
      <w:pPr>
        <w:tabs>
          <w:tab w:val="num" w:pos="5208"/>
        </w:tabs>
        <w:ind w:left="5208" w:hanging="360"/>
      </w:pPr>
      <w:rPr>
        <w:rFonts w:ascii="Symbol" w:hAnsi="Symbol" w:hint="default"/>
      </w:rPr>
    </w:lvl>
    <w:lvl w:ilvl="7" w:tplc="04090003" w:tentative="1">
      <w:start w:val="1"/>
      <w:numFmt w:val="bullet"/>
      <w:lvlText w:val="o"/>
      <w:lvlJc w:val="left"/>
      <w:pPr>
        <w:tabs>
          <w:tab w:val="num" w:pos="5928"/>
        </w:tabs>
        <w:ind w:left="5928" w:hanging="360"/>
      </w:pPr>
      <w:rPr>
        <w:rFonts w:ascii="Courier New" w:hAnsi="Courier New" w:cs="Courier New" w:hint="default"/>
      </w:rPr>
    </w:lvl>
    <w:lvl w:ilvl="8" w:tplc="04090005" w:tentative="1">
      <w:start w:val="1"/>
      <w:numFmt w:val="bullet"/>
      <w:lvlText w:val=""/>
      <w:lvlJc w:val="left"/>
      <w:pPr>
        <w:tabs>
          <w:tab w:val="num" w:pos="6648"/>
        </w:tabs>
        <w:ind w:left="6648" w:hanging="360"/>
      </w:pPr>
      <w:rPr>
        <w:rFonts w:ascii="Wingdings" w:hAnsi="Wingdings" w:hint="default"/>
      </w:rPr>
    </w:lvl>
  </w:abstractNum>
  <w:abstractNum w:abstractNumId="4" w15:restartNumberingAfterBreak="0">
    <w:nsid w:val="25306212"/>
    <w:multiLevelType w:val="hybridMultilevel"/>
    <w:tmpl w:val="43602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9932B0"/>
    <w:multiLevelType w:val="hybridMultilevel"/>
    <w:tmpl w:val="A40249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8D1A4B"/>
    <w:multiLevelType w:val="hybridMultilevel"/>
    <w:tmpl w:val="EA820A6A"/>
    <w:lvl w:ilvl="0" w:tplc="84983D02">
      <w:start w:val="1"/>
      <w:numFmt w:val="decimal"/>
      <w:lvlText w:val="%1."/>
      <w:lvlJc w:val="left"/>
      <w:pPr>
        <w:tabs>
          <w:tab w:val="num" w:pos="768"/>
        </w:tabs>
        <w:ind w:left="768" w:hanging="4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2A35AE"/>
    <w:multiLevelType w:val="hybridMultilevel"/>
    <w:tmpl w:val="4ABA3E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42AF6"/>
    <w:multiLevelType w:val="hybridMultilevel"/>
    <w:tmpl w:val="DAD6E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3015C7"/>
    <w:multiLevelType w:val="hybridMultilevel"/>
    <w:tmpl w:val="5582F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4369E0"/>
    <w:multiLevelType w:val="hybridMultilevel"/>
    <w:tmpl w:val="0A56F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6F7AEF"/>
    <w:multiLevelType w:val="hybridMultilevel"/>
    <w:tmpl w:val="F7C4A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C83DB8"/>
    <w:multiLevelType w:val="hybridMultilevel"/>
    <w:tmpl w:val="0386731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37771DE"/>
    <w:multiLevelType w:val="hybridMultilevel"/>
    <w:tmpl w:val="5FB8AEEC"/>
    <w:lvl w:ilvl="0" w:tplc="68307448">
      <w:start w:val="1"/>
      <w:numFmt w:val="decimal"/>
      <w:pStyle w:val="ListParagraph"/>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923BFE"/>
    <w:multiLevelType w:val="hybridMultilevel"/>
    <w:tmpl w:val="DE006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D04A24"/>
    <w:multiLevelType w:val="hybridMultilevel"/>
    <w:tmpl w:val="37029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9B024F"/>
    <w:multiLevelType w:val="hybridMultilevel"/>
    <w:tmpl w:val="619C1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90ADF"/>
    <w:multiLevelType w:val="hybridMultilevel"/>
    <w:tmpl w:val="60369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600321"/>
    <w:multiLevelType w:val="hybridMultilevel"/>
    <w:tmpl w:val="5AF49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2D537C"/>
    <w:multiLevelType w:val="hybridMultilevel"/>
    <w:tmpl w:val="2A4AA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565456"/>
    <w:multiLevelType w:val="hybridMultilevel"/>
    <w:tmpl w:val="6CD21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F15334"/>
    <w:multiLevelType w:val="hybridMultilevel"/>
    <w:tmpl w:val="59742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35E17"/>
    <w:multiLevelType w:val="hybridMultilevel"/>
    <w:tmpl w:val="D158A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4071B"/>
    <w:multiLevelType w:val="hybridMultilevel"/>
    <w:tmpl w:val="7C262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E4281A"/>
    <w:multiLevelType w:val="hybridMultilevel"/>
    <w:tmpl w:val="52E0C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4970F9"/>
    <w:multiLevelType w:val="hybridMultilevel"/>
    <w:tmpl w:val="B628A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
  </w:num>
  <w:num w:numId="4">
    <w:abstractNumId w:val="11"/>
  </w:num>
  <w:num w:numId="5">
    <w:abstractNumId w:val="10"/>
  </w:num>
  <w:num w:numId="6">
    <w:abstractNumId w:val="17"/>
  </w:num>
  <w:num w:numId="7">
    <w:abstractNumId w:val="6"/>
  </w:num>
  <w:num w:numId="8">
    <w:abstractNumId w:val="16"/>
  </w:num>
  <w:num w:numId="9">
    <w:abstractNumId w:val="5"/>
  </w:num>
  <w:num w:numId="10">
    <w:abstractNumId w:val="19"/>
  </w:num>
  <w:num w:numId="11">
    <w:abstractNumId w:val="3"/>
  </w:num>
  <w:num w:numId="12">
    <w:abstractNumId w:val="25"/>
  </w:num>
  <w:num w:numId="13">
    <w:abstractNumId w:val="4"/>
  </w:num>
  <w:num w:numId="14">
    <w:abstractNumId w:val="24"/>
  </w:num>
  <w:num w:numId="15">
    <w:abstractNumId w:val="22"/>
  </w:num>
  <w:num w:numId="16">
    <w:abstractNumId w:val="7"/>
  </w:num>
  <w:num w:numId="17">
    <w:abstractNumId w:val="23"/>
  </w:num>
  <w:num w:numId="18">
    <w:abstractNumId w:val="8"/>
  </w:num>
  <w:num w:numId="19">
    <w:abstractNumId w:val="14"/>
  </w:num>
  <w:num w:numId="20">
    <w:abstractNumId w:val="15"/>
  </w:num>
  <w:num w:numId="21">
    <w:abstractNumId w:val="9"/>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1"/>
  </w:num>
  <w:num w:numId="25">
    <w:abstractNumId w:val="18"/>
  </w:num>
  <w:num w:numId="2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style="mso-position-horizontal:center;mso-position-horizontal-relative:page;mso-position-vertical-relative:page;mso-width-relative:margin;mso-height-relative:margin"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029"/>
    <w:rsid w:val="00013B89"/>
    <w:rsid w:val="00024D4A"/>
    <w:rsid w:val="000463C4"/>
    <w:rsid w:val="000975F7"/>
    <w:rsid w:val="00097AED"/>
    <w:rsid w:val="000B613D"/>
    <w:rsid w:val="000E0EA1"/>
    <w:rsid w:val="000E1029"/>
    <w:rsid w:val="001020C8"/>
    <w:rsid w:val="00116116"/>
    <w:rsid w:val="00120988"/>
    <w:rsid w:val="001277C9"/>
    <w:rsid w:val="0016629D"/>
    <w:rsid w:val="00181061"/>
    <w:rsid w:val="001818FE"/>
    <w:rsid w:val="00193FB6"/>
    <w:rsid w:val="001A02C0"/>
    <w:rsid w:val="001C2BEB"/>
    <w:rsid w:val="001D52FC"/>
    <w:rsid w:val="001F2FAC"/>
    <w:rsid w:val="001F7A0C"/>
    <w:rsid w:val="00214C8A"/>
    <w:rsid w:val="00237941"/>
    <w:rsid w:val="002435A4"/>
    <w:rsid w:val="002517E6"/>
    <w:rsid w:val="00256BDC"/>
    <w:rsid w:val="00260E6A"/>
    <w:rsid w:val="00281DE8"/>
    <w:rsid w:val="00285ED2"/>
    <w:rsid w:val="002A3F8F"/>
    <w:rsid w:val="002C1F88"/>
    <w:rsid w:val="002E71F9"/>
    <w:rsid w:val="002E7360"/>
    <w:rsid w:val="002F1429"/>
    <w:rsid w:val="00300C4C"/>
    <w:rsid w:val="00306878"/>
    <w:rsid w:val="00320DA1"/>
    <w:rsid w:val="00320F2D"/>
    <w:rsid w:val="00327273"/>
    <w:rsid w:val="003A1AAA"/>
    <w:rsid w:val="003B50D1"/>
    <w:rsid w:val="003D7C66"/>
    <w:rsid w:val="003F48C9"/>
    <w:rsid w:val="0041318F"/>
    <w:rsid w:val="004404A4"/>
    <w:rsid w:val="00452B5A"/>
    <w:rsid w:val="00460B3E"/>
    <w:rsid w:val="004721DE"/>
    <w:rsid w:val="00483297"/>
    <w:rsid w:val="004A0A2C"/>
    <w:rsid w:val="004B151D"/>
    <w:rsid w:val="004B317E"/>
    <w:rsid w:val="004C0886"/>
    <w:rsid w:val="004C401B"/>
    <w:rsid w:val="004F0FD9"/>
    <w:rsid w:val="00502AD7"/>
    <w:rsid w:val="005030C6"/>
    <w:rsid w:val="00527AFC"/>
    <w:rsid w:val="00533B9A"/>
    <w:rsid w:val="0054143D"/>
    <w:rsid w:val="005441CB"/>
    <w:rsid w:val="0055560F"/>
    <w:rsid w:val="005A2A5E"/>
    <w:rsid w:val="005A7A42"/>
    <w:rsid w:val="005B43A6"/>
    <w:rsid w:val="005F3091"/>
    <w:rsid w:val="0060263D"/>
    <w:rsid w:val="006123FB"/>
    <w:rsid w:val="0061675C"/>
    <w:rsid w:val="00643C24"/>
    <w:rsid w:val="00644C14"/>
    <w:rsid w:val="00670165"/>
    <w:rsid w:val="006B0D6B"/>
    <w:rsid w:val="006C06DF"/>
    <w:rsid w:val="006E1447"/>
    <w:rsid w:val="00701911"/>
    <w:rsid w:val="007127CB"/>
    <w:rsid w:val="00731EC8"/>
    <w:rsid w:val="007414B8"/>
    <w:rsid w:val="0076195B"/>
    <w:rsid w:val="00784DF6"/>
    <w:rsid w:val="007976B0"/>
    <w:rsid w:val="007A01B4"/>
    <w:rsid w:val="007B538F"/>
    <w:rsid w:val="007C347E"/>
    <w:rsid w:val="007F2F15"/>
    <w:rsid w:val="00805C25"/>
    <w:rsid w:val="00844AA7"/>
    <w:rsid w:val="008479C1"/>
    <w:rsid w:val="00856218"/>
    <w:rsid w:val="0086460B"/>
    <w:rsid w:val="00866987"/>
    <w:rsid w:val="00875349"/>
    <w:rsid w:val="00876437"/>
    <w:rsid w:val="00876722"/>
    <w:rsid w:val="00886384"/>
    <w:rsid w:val="008B5EC8"/>
    <w:rsid w:val="008B6B12"/>
    <w:rsid w:val="008C508C"/>
    <w:rsid w:val="008C642B"/>
    <w:rsid w:val="008D7910"/>
    <w:rsid w:val="0091068C"/>
    <w:rsid w:val="00924B4E"/>
    <w:rsid w:val="00933216"/>
    <w:rsid w:val="00942995"/>
    <w:rsid w:val="0099349D"/>
    <w:rsid w:val="009A0AE5"/>
    <w:rsid w:val="009A2495"/>
    <w:rsid w:val="009D6C7D"/>
    <w:rsid w:val="009E43B1"/>
    <w:rsid w:val="00A11ECB"/>
    <w:rsid w:val="00A16A0F"/>
    <w:rsid w:val="00A231B4"/>
    <w:rsid w:val="00A4522B"/>
    <w:rsid w:val="00A63922"/>
    <w:rsid w:val="00A656C4"/>
    <w:rsid w:val="00A772EE"/>
    <w:rsid w:val="00A82AEF"/>
    <w:rsid w:val="00AA44CE"/>
    <w:rsid w:val="00AD5B02"/>
    <w:rsid w:val="00B2292F"/>
    <w:rsid w:val="00B4006E"/>
    <w:rsid w:val="00B46437"/>
    <w:rsid w:val="00B47313"/>
    <w:rsid w:val="00B630F4"/>
    <w:rsid w:val="00B70C14"/>
    <w:rsid w:val="00B809EB"/>
    <w:rsid w:val="00BA2B9B"/>
    <w:rsid w:val="00BA32C3"/>
    <w:rsid w:val="00BA4196"/>
    <w:rsid w:val="00BB609A"/>
    <w:rsid w:val="00BD3956"/>
    <w:rsid w:val="00BF25D0"/>
    <w:rsid w:val="00C17E13"/>
    <w:rsid w:val="00C20199"/>
    <w:rsid w:val="00C234F7"/>
    <w:rsid w:val="00C359E4"/>
    <w:rsid w:val="00C365FE"/>
    <w:rsid w:val="00C57448"/>
    <w:rsid w:val="00C60A33"/>
    <w:rsid w:val="00C65168"/>
    <w:rsid w:val="00C723B3"/>
    <w:rsid w:val="00C80484"/>
    <w:rsid w:val="00C915FE"/>
    <w:rsid w:val="00C95D5D"/>
    <w:rsid w:val="00CA084B"/>
    <w:rsid w:val="00CA71CF"/>
    <w:rsid w:val="00CF3614"/>
    <w:rsid w:val="00D128C3"/>
    <w:rsid w:val="00D14A14"/>
    <w:rsid w:val="00D33174"/>
    <w:rsid w:val="00D359F1"/>
    <w:rsid w:val="00D36789"/>
    <w:rsid w:val="00D47B67"/>
    <w:rsid w:val="00D75CD9"/>
    <w:rsid w:val="00D77F4F"/>
    <w:rsid w:val="00D85DD6"/>
    <w:rsid w:val="00DB0A99"/>
    <w:rsid w:val="00DE195B"/>
    <w:rsid w:val="00DE2544"/>
    <w:rsid w:val="00DF7377"/>
    <w:rsid w:val="00E16E90"/>
    <w:rsid w:val="00E33271"/>
    <w:rsid w:val="00E3345B"/>
    <w:rsid w:val="00E47459"/>
    <w:rsid w:val="00E6185A"/>
    <w:rsid w:val="00E6271E"/>
    <w:rsid w:val="00E726C1"/>
    <w:rsid w:val="00E72792"/>
    <w:rsid w:val="00E869D6"/>
    <w:rsid w:val="00E91C2F"/>
    <w:rsid w:val="00EA2EA6"/>
    <w:rsid w:val="00EA447B"/>
    <w:rsid w:val="00ED62F9"/>
    <w:rsid w:val="00EE18AC"/>
    <w:rsid w:val="00EF27B0"/>
    <w:rsid w:val="00EF4FB5"/>
    <w:rsid w:val="00F00962"/>
    <w:rsid w:val="00F07602"/>
    <w:rsid w:val="00F129FF"/>
    <w:rsid w:val="00F31553"/>
    <w:rsid w:val="00F32435"/>
    <w:rsid w:val="00F35AD6"/>
    <w:rsid w:val="00F35CDF"/>
    <w:rsid w:val="00F407A1"/>
    <w:rsid w:val="00F560BA"/>
    <w:rsid w:val="00F652A2"/>
    <w:rsid w:val="00F71817"/>
    <w:rsid w:val="00F91210"/>
    <w:rsid w:val="00F93ED7"/>
    <w:rsid w:val="00FC34E3"/>
    <w:rsid w:val="00FE0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center;mso-position-horizontal-relative:page;mso-position-vertical-relative:page;mso-width-relative:margin;mso-height-relative:margin" o:allowoverlap="f" fill="f" fillcolor="white" stroke="f">
      <v:fill color="white" on="f"/>
      <v:stroke on="f"/>
    </o:shapedefaults>
    <o:shapelayout v:ext="edit">
      <o:idmap v:ext="edit" data="1"/>
    </o:shapelayout>
  </w:shapeDefaults>
  <w:decimalSymbol w:val="."/>
  <w:listSeparator w:val=","/>
  <w15:chartTrackingRefBased/>
  <w15:docId w15:val="{5BAEB12D-9E02-4CD5-B6D9-734EDC80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2EE"/>
    <w:rPr>
      <w:rFonts w:eastAsia="SimSun"/>
      <w:sz w:val="24"/>
      <w:szCs w:val="24"/>
      <w:lang w:eastAsia="zh-CN"/>
    </w:rPr>
  </w:style>
  <w:style w:type="paragraph" w:styleId="Heading1">
    <w:name w:val="heading 1"/>
    <w:basedOn w:val="Normal"/>
    <w:next w:val="Normal"/>
    <w:qFormat/>
    <w:rsid w:val="00B47313"/>
    <w:pPr>
      <w:keepNext/>
      <w:spacing w:before="240" w:after="60"/>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B47313"/>
    <w:pPr>
      <w:keepNext/>
      <w:spacing w:before="240" w:after="60"/>
      <w:outlineLvl w:val="1"/>
    </w:pPr>
    <w:rPr>
      <w:rFonts w:ascii="Arial" w:eastAsia="Times New Roman" w:hAnsi="Arial" w:cs="Arial"/>
      <w:b/>
      <w:bCs/>
      <w:i/>
      <w:iCs/>
      <w:sz w:val="28"/>
      <w:szCs w:val="28"/>
      <w:lang w:eastAsia="en-US"/>
    </w:rPr>
  </w:style>
  <w:style w:type="paragraph" w:styleId="Heading4">
    <w:name w:val="heading 4"/>
    <w:basedOn w:val="Normal"/>
    <w:next w:val="Normal"/>
    <w:qFormat/>
    <w:rsid w:val="00B47313"/>
    <w:pPr>
      <w:keepNext/>
      <w:spacing w:before="240" w:after="60"/>
      <w:outlineLvl w:val="3"/>
    </w:pPr>
    <w:rPr>
      <w:rFonts w:eastAsia="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E1029"/>
    <w:rPr>
      <w:color w:val="0000FF"/>
      <w:u w:val="single"/>
    </w:rPr>
  </w:style>
  <w:style w:type="table" w:styleId="TableGrid">
    <w:name w:val="Table Grid"/>
    <w:basedOn w:val="TableNormal"/>
    <w:rsid w:val="00B80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772EE"/>
    <w:rPr>
      <w:b/>
      <w:bCs/>
    </w:rPr>
  </w:style>
  <w:style w:type="character" w:styleId="FollowedHyperlink">
    <w:name w:val="FollowedHyperlink"/>
    <w:rsid w:val="00D77F4F"/>
    <w:rPr>
      <w:color w:val="800080"/>
      <w:u w:val="single"/>
    </w:rPr>
  </w:style>
  <w:style w:type="paragraph" w:styleId="Footer">
    <w:name w:val="footer"/>
    <w:basedOn w:val="Normal"/>
    <w:link w:val="FooterChar"/>
    <w:uiPriority w:val="99"/>
    <w:rsid w:val="00F32435"/>
    <w:pPr>
      <w:tabs>
        <w:tab w:val="center" w:pos="4320"/>
        <w:tab w:val="right" w:pos="8640"/>
      </w:tabs>
    </w:pPr>
    <w:rPr>
      <w:rFonts w:eastAsia="Times New Roman"/>
      <w:lang w:eastAsia="en-US"/>
    </w:rPr>
  </w:style>
  <w:style w:type="paragraph" w:styleId="NormalWeb">
    <w:name w:val="Normal (Web)"/>
    <w:basedOn w:val="Normal"/>
    <w:uiPriority w:val="99"/>
    <w:rsid w:val="00F32435"/>
    <w:pPr>
      <w:spacing w:before="100" w:beforeAutospacing="1" w:after="100" w:afterAutospacing="1"/>
    </w:pPr>
    <w:rPr>
      <w:rFonts w:eastAsia="Times New Roman"/>
      <w:lang w:eastAsia="en-US"/>
    </w:rPr>
  </w:style>
  <w:style w:type="paragraph" w:styleId="Header">
    <w:name w:val="header"/>
    <w:basedOn w:val="Normal"/>
    <w:link w:val="HeaderChar"/>
    <w:uiPriority w:val="99"/>
    <w:rsid w:val="00F32435"/>
    <w:pPr>
      <w:tabs>
        <w:tab w:val="center" w:pos="4320"/>
        <w:tab w:val="right" w:pos="8640"/>
      </w:tabs>
    </w:pPr>
  </w:style>
  <w:style w:type="paragraph" w:styleId="BodyText">
    <w:name w:val="Body Text"/>
    <w:basedOn w:val="Normal"/>
    <w:rsid w:val="00856218"/>
    <w:rPr>
      <w:rFonts w:eastAsia="Times New Roman"/>
      <w:szCs w:val="20"/>
      <w:lang w:eastAsia="en-US"/>
    </w:rPr>
  </w:style>
  <w:style w:type="character" w:customStyle="1" w:styleId="style4">
    <w:name w:val="style4"/>
    <w:basedOn w:val="DefaultParagraphFont"/>
    <w:rsid w:val="00B47313"/>
  </w:style>
  <w:style w:type="paragraph" w:customStyle="1" w:styleId="blacktitlelink">
    <w:name w:val="blacktitlelink"/>
    <w:basedOn w:val="Normal"/>
    <w:rsid w:val="00B47313"/>
    <w:pPr>
      <w:spacing w:before="100" w:beforeAutospacing="1" w:after="100" w:afterAutospacing="1"/>
    </w:pPr>
    <w:rPr>
      <w:rFonts w:eastAsia="Times New Roman"/>
      <w:color w:val="000033"/>
      <w:sz w:val="36"/>
      <w:szCs w:val="36"/>
      <w:lang w:eastAsia="en-US"/>
    </w:rPr>
  </w:style>
  <w:style w:type="character" w:customStyle="1" w:styleId="Heading2Char">
    <w:name w:val="Heading 2 Char"/>
    <w:link w:val="Heading2"/>
    <w:rsid w:val="00B47313"/>
    <w:rPr>
      <w:rFonts w:ascii="Arial" w:hAnsi="Arial" w:cs="Arial"/>
      <w:b/>
      <w:bCs/>
      <w:i/>
      <w:iCs/>
      <w:sz w:val="28"/>
      <w:szCs w:val="28"/>
      <w:lang w:val="en-US" w:eastAsia="en-US" w:bidi="ar-SA"/>
    </w:rPr>
  </w:style>
  <w:style w:type="character" w:styleId="PageNumber">
    <w:name w:val="page number"/>
    <w:basedOn w:val="DefaultParagraphFont"/>
    <w:rsid w:val="00B47313"/>
  </w:style>
  <w:style w:type="paragraph" w:styleId="TOC1">
    <w:name w:val="toc 1"/>
    <w:basedOn w:val="Normal"/>
    <w:next w:val="Normal"/>
    <w:autoRedefine/>
    <w:semiHidden/>
    <w:rsid w:val="00B47313"/>
    <w:pPr>
      <w:tabs>
        <w:tab w:val="right" w:leader="dot" w:pos="9350"/>
      </w:tabs>
      <w:ind w:left="240"/>
    </w:pPr>
    <w:rPr>
      <w:rFonts w:eastAsia="Times New Roman"/>
      <w:i/>
      <w:iCs/>
      <w:noProof/>
      <w:lang w:eastAsia="en-US"/>
    </w:rPr>
  </w:style>
  <w:style w:type="paragraph" w:styleId="TOC2">
    <w:name w:val="toc 2"/>
    <w:basedOn w:val="Normal"/>
    <w:next w:val="Normal"/>
    <w:autoRedefine/>
    <w:semiHidden/>
    <w:rsid w:val="00B47313"/>
    <w:pPr>
      <w:tabs>
        <w:tab w:val="right" w:leader="dot" w:pos="9350"/>
      </w:tabs>
      <w:ind w:left="480"/>
    </w:pPr>
    <w:rPr>
      <w:rFonts w:eastAsia="Times New Roman"/>
      <w:lang w:eastAsia="en-US"/>
    </w:rPr>
  </w:style>
  <w:style w:type="paragraph" w:styleId="TOC3">
    <w:name w:val="toc 3"/>
    <w:basedOn w:val="Normal"/>
    <w:next w:val="Normal"/>
    <w:autoRedefine/>
    <w:semiHidden/>
    <w:rsid w:val="00B47313"/>
    <w:pPr>
      <w:ind w:left="480"/>
    </w:pPr>
    <w:rPr>
      <w:rFonts w:eastAsia="Times New Roman"/>
      <w:lang w:eastAsia="en-US"/>
    </w:rPr>
  </w:style>
  <w:style w:type="paragraph" w:customStyle="1" w:styleId="NormalWeb2">
    <w:name w:val="Normal (Web)2"/>
    <w:basedOn w:val="Normal"/>
    <w:rsid w:val="00BB609A"/>
    <w:pPr>
      <w:spacing w:after="150" w:line="312" w:lineRule="auto"/>
    </w:pPr>
    <w:rPr>
      <w:rFonts w:eastAsia="Times New Roman"/>
      <w:sz w:val="18"/>
      <w:szCs w:val="18"/>
      <w:lang w:eastAsia="en-US"/>
    </w:rPr>
  </w:style>
  <w:style w:type="paragraph" w:customStyle="1" w:styleId="Level1">
    <w:name w:val="Level 1"/>
    <w:basedOn w:val="Normal"/>
    <w:rsid w:val="00BB609A"/>
    <w:pPr>
      <w:widowControl w:val="0"/>
      <w:numPr>
        <w:numId w:val="1"/>
      </w:numPr>
      <w:autoSpaceDE w:val="0"/>
      <w:autoSpaceDN w:val="0"/>
      <w:adjustRightInd w:val="0"/>
      <w:ind w:left="2880" w:hanging="720"/>
      <w:outlineLvl w:val="0"/>
    </w:pPr>
    <w:rPr>
      <w:rFonts w:eastAsia="Times New Roman"/>
      <w:lang w:eastAsia="en-US"/>
    </w:rPr>
  </w:style>
  <w:style w:type="paragraph" w:styleId="FootnoteText">
    <w:name w:val="footnote text"/>
    <w:basedOn w:val="Normal"/>
    <w:semiHidden/>
    <w:rsid w:val="00BB609A"/>
    <w:rPr>
      <w:rFonts w:eastAsia="Times New Roman"/>
      <w:sz w:val="20"/>
      <w:szCs w:val="20"/>
      <w:lang w:eastAsia="en-US"/>
    </w:rPr>
  </w:style>
  <w:style w:type="paragraph" w:customStyle="1" w:styleId="NormalWeb6">
    <w:name w:val="Normal (Web)6"/>
    <w:basedOn w:val="Normal"/>
    <w:rsid w:val="00BB609A"/>
    <w:pPr>
      <w:spacing w:before="75" w:after="150" w:line="312" w:lineRule="atLeast"/>
    </w:pPr>
    <w:rPr>
      <w:rFonts w:eastAsia="Times New Roman"/>
      <w:lang w:eastAsia="en-US"/>
    </w:rPr>
  </w:style>
  <w:style w:type="character" w:customStyle="1" w:styleId="HeaderChar">
    <w:name w:val="Header Char"/>
    <w:link w:val="Header"/>
    <w:uiPriority w:val="99"/>
    <w:rsid w:val="00D36789"/>
    <w:rPr>
      <w:rFonts w:eastAsia="SimSun"/>
      <w:sz w:val="24"/>
      <w:szCs w:val="24"/>
      <w:lang w:eastAsia="zh-CN"/>
    </w:rPr>
  </w:style>
  <w:style w:type="character" w:customStyle="1" w:styleId="FooterChar">
    <w:name w:val="Footer Char"/>
    <w:link w:val="Footer"/>
    <w:uiPriority w:val="99"/>
    <w:rsid w:val="00D36789"/>
    <w:rPr>
      <w:sz w:val="24"/>
      <w:szCs w:val="24"/>
    </w:rPr>
  </w:style>
  <w:style w:type="character" w:styleId="CommentReference">
    <w:name w:val="annotation reference"/>
    <w:rsid w:val="008B6B12"/>
    <w:rPr>
      <w:sz w:val="16"/>
      <w:szCs w:val="16"/>
    </w:rPr>
  </w:style>
  <w:style w:type="paragraph" w:styleId="CommentText">
    <w:name w:val="annotation text"/>
    <w:basedOn w:val="Normal"/>
    <w:link w:val="CommentTextChar"/>
    <w:rsid w:val="008B6B12"/>
    <w:rPr>
      <w:sz w:val="20"/>
      <w:szCs w:val="20"/>
    </w:rPr>
  </w:style>
  <w:style w:type="character" w:customStyle="1" w:styleId="CommentTextChar">
    <w:name w:val="Comment Text Char"/>
    <w:link w:val="CommentText"/>
    <w:rsid w:val="008B6B12"/>
    <w:rPr>
      <w:rFonts w:eastAsia="SimSun"/>
      <w:lang w:eastAsia="zh-CN"/>
    </w:rPr>
  </w:style>
  <w:style w:type="paragraph" w:styleId="CommentSubject">
    <w:name w:val="annotation subject"/>
    <w:basedOn w:val="CommentText"/>
    <w:next w:val="CommentText"/>
    <w:link w:val="CommentSubjectChar"/>
    <w:rsid w:val="008B6B12"/>
    <w:rPr>
      <w:b/>
      <w:bCs/>
    </w:rPr>
  </w:style>
  <w:style w:type="character" w:customStyle="1" w:styleId="CommentSubjectChar">
    <w:name w:val="Comment Subject Char"/>
    <w:link w:val="CommentSubject"/>
    <w:rsid w:val="008B6B12"/>
    <w:rPr>
      <w:rFonts w:eastAsia="SimSun"/>
      <w:b/>
      <w:bCs/>
      <w:lang w:eastAsia="zh-CN"/>
    </w:rPr>
  </w:style>
  <w:style w:type="paragraph" w:styleId="BalloonText">
    <w:name w:val="Balloon Text"/>
    <w:basedOn w:val="Normal"/>
    <w:link w:val="BalloonTextChar"/>
    <w:rsid w:val="008B6B12"/>
    <w:rPr>
      <w:rFonts w:ascii="Tahoma" w:hAnsi="Tahoma" w:cs="Tahoma"/>
      <w:sz w:val="16"/>
      <w:szCs w:val="16"/>
    </w:rPr>
  </w:style>
  <w:style w:type="character" w:customStyle="1" w:styleId="BalloonTextChar">
    <w:name w:val="Balloon Text Char"/>
    <w:link w:val="BalloonText"/>
    <w:rsid w:val="008B6B12"/>
    <w:rPr>
      <w:rFonts w:ascii="Tahoma" w:eastAsia="SimSun" w:hAnsi="Tahoma" w:cs="Tahoma"/>
      <w:sz w:val="16"/>
      <w:szCs w:val="16"/>
      <w:lang w:eastAsia="zh-CN"/>
    </w:rPr>
  </w:style>
  <w:style w:type="paragraph" w:styleId="ListParagraph">
    <w:name w:val="List Paragraph"/>
    <w:basedOn w:val="Normal"/>
    <w:uiPriority w:val="34"/>
    <w:qFormat/>
    <w:rsid w:val="00E726C1"/>
    <w:pPr>
      <w:numPr>
        <w:numId w:val="26"/>
      </w:numPr>
      <w:tabs>
        <w:tab w:val="left" w:pos="360"/>
        <w:tab w:val="left" w:pos="720"/>
      </w:tabs>
      <w:spacing w:before="60"/>
      <w:ind w:left="720"/>
      <w:contextualSpacing/>
    </w:pPr>
    <w:rPr>
      <w:rFonts w:ascii="Calibri" w:eastAsia="Times New Roman"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317405">
      <w:bodyDiv w:val="1"/>
      <w:marLeft w:val="0"/>
      <w:marRight w:val="0"/>
      <w:marTop w:val="0"/>
      <w:marBottom w:val="0"/>
      <w:divBdr>
        <w:top w:val="none" w:sz="0" w:space="0" w:color="auto"/>
        <w:left w:val="none" w:sz="0" w:space="0" w:color="auto"/>
        <w:bottom w:val="none" w:sz="0" w:space="0" w:color="auto"/>
        <w:right w:val="none" w:sz="0" w:space="0" w:color="auto"/>
      </w:divBdr>
    </w:div>
    <w:div w:id="851647419">
      <w:bodyDiv w:val="1"/>
      <w:marLeft w:val="0"/>
      <w:marRight w:val="0"/>
      <w:marTop w:val="0"/>
      <w:marBottom w:val="0"/>
      <w:divBdr>
        <w:top w:val="none" w:sz="0" w:space="0" w:color="auto"/>
        <w:left w:val="none" w:sz="0" w:space="0" w:color="auto"/>
        <w:bottom w:val="none" w:sz="0" w:space="0" w:color="auto"/>
        <w:right w:val="none" w:sz="0" w:space="0" w:color="auto"/>
      </w:divBdr>
    </w:div>
    <w:div w:id="1432121775">
      <w:bodyDiv w:val="1"/>
      <w:marLeft w:val="0"/>
      <w:marRight w:val="0"/>
      <w:marTop w:val="0"/>
      <w:marBottom w:val="0"/>
      <w:divBdr>
        <w:top w:val="none" w:sz="0" w:space="0" w:color="auto"/>
        <w:left w:val="none" w:sz="0" w:space="0" w:color="auto"/>
        <w:bottom w:val="none" w:sz="0" w:space="0" w:color="auto"/>
        <w:right w:val="none" w:sz="0" w:space="0" w:color="auto"/>
      </w:divBdr>
      <w:divsChild>
        <w:div w:id="31924640">
          <w:marLeft w:val="547"/>
          <w:marRight w:val="0"/>
          <w:marTop w:val="154"/>
          <w:marBottom w:val="0"/>
          <w:divBdr>
            <w:top w:val="none" w:sz="0" w:space="0" w:color="auto"/>
            <w:left w:val="none" w:sz="0" w:space="0" w:color="auto"/>
            <w:bottom w:val="none" w:sz="0" w:space="0" w:color="auto"/>
            <w:right w:val="none" w:sz="0" w:space="0" w:color="auto"/>
          </w:divBdr>
        </w:div>
        <w:div w:id="259408309">
          <w:marLeft w:val="1166"/>
          <w:marRight w:val="0"/>
          <w:marTop w:val="134"/>
          <w:marBottom w:val="0"/>
          <w:divBdr>
            <w:top w:val="none" w:sz="0" w:space="0" w:color="auto"/>
            <w:left w:val="none" w:sz="0" w:space="0" w:color="auto"/>
            <w:bottom w:val="none" w:sz="0" w:space="0" w:color="auto"/>
            <w:right w:val="none" w:sz="0" w:space="0" w:color="auto"/>
          </w:divBdr>
        </w:div>
        <w:div w:id="313221744">
          <w:marLeft w:val="1166"/>
          <w:marRight w:val="0"/>
          <w:marTop w:val="134"/>
          <w:marBottom w:val="0"/>
          <w:divBdr>
            <w:top w:val="none" w:sz="0" w:space="0" w:color="auto"/>
            <w:left w:val="none" w:sz="0" w:space="0" w:color="auto"/>
            <w:bottom w:val="none" w:sz="0" w:space="0" w:color="auto"/>
            <w:right w:val="none" w:sz="0" w:space="0" w:color="auto"/>
          </w:divBdr>
        </w:div>
        <w:div w:id="1172570797">
          <w:marLeft w:val="547"/>
          <w:marRight w:val="0"/>
          <w:marTop w:val="154"/>
          <w:marBottom w:val="0"/>
          <w:divBdr>
            <w:top w:val="none" w:sz="0" w:space="0" w:color="auto"/>
            <w:left w:val="none" w:sz="0" w:space="0" w:color="auto"/>
            <w:bottom w:val="none" w:sz="0" w:space="0" w:color="auto"/>
            <w:right w:val="none" w:sz="0" w:space="0" w:color="auto"/>
          </w:divBdr>
        </w:div>
        <w:div w:id="1948075153">
          <w:marLeft w:val="1166"/>
          <w:marRight w:val="0"/>
          <w:marTop w:val="134"/>
          <w:marBottom w:val="0"/>
          <w:divBdr>
            <w:top w:val="none" w:sz="0" w:space="0" w:color="auto"/>
            <w:left w:val="none" w:sz="0" w:space="0" w:color="auto"/>
            <w:bottom w:val="none" w:sz="0" w:space="0" w:color="auto"/>
            <w:right w:val="none" w:sz="0" w:space="0" w:color="auto"/>
          </w:divBdr>
        </w:div>
      </w:divsChild>
    </w:div>
    <w:div w:id="1644777240">
      <w:bodyDiv w:val="1"/>
      <w:marLeft w:val="0"/>
      <w:marRight w:val="0"/>
      <w:marTop w:val="0"/>
      <w:marBottom w:val="0"/>
      <w:divBdr>
        <w:top w:val="none" w:sz="0" w:space="0" w:color="auto"/>
        <w:left w:val="none" w:sz="0" w:space="0" w:color="auto"/>
        <w:bottom w:val="none" w:sz="0" w:space="0" w:color="auto"/>
        <w:right w:val="none" w:sz="0" w:space="0" w:color="auto"/>
      </w:divBdr>
    </w:div>
    <w:div w:id="207736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vaccines/events/niiw/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F942A-14E9-48D0-A5FA-2FF78D1B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2350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National Infant Immunization Week-Sample Sample Proclamation</vt:lpstr>
    </vt:vector>
  </TitlesOfParts>
  <Company>CDC/NCIRD</Company>
  <LinksUpToDate>false</LinksUpToDate>
  <CharactersWithSpaces>2710</CharactersWithSpaces>
  <SharedDoc>false</SharedDoc>
  <HLinks>
    <vt:vector size="6" baseType="variant">
      <vt:variant>
        <vt:i4>196633</vt:i4>
      </vt:variant>
      <vt:variant>
        <vt:i4>0</vt:i4>
      </vt:variant>
      <vt:variant>
        <vt:i4>0</vt:i4>
      </vt:variant>
      <vt:variant>
        <vt:i4>5</vt:i4>
      </vt:variant>
      <vt:variant>
        <vt:lpwstr>https://www.cdc.gov/vaccines/events/niiw/index.htm (NIIW events)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Infant Immunization Week-Sample Sample Proclamation</dc:title>
  <dc:subject>Sample Proclamation NIIW</dc:subject>
  <dc:creator>CDC</dc:creator>
  <cp:keywords>NIIW, national infant immunization week, vaccines, childhood immunization, power to protect</cp:keywords>
  <dc:description/>
  <cp:lastModifiedBy>LaRocque, Marcie (CDC/OID/NCIRD) (CTR)</cp:lastModifiedBy>
  <cp:revision>2</cp:revision>
  <cp:lastPrinted>2012-03-19T15:52:00Z</cp:lastPrinted>
  <dcterms:created xsi:type="dcterms:W3CDTF">2017-06-07T15:11:00Z</dcterms:created>
  <dcterms:modified xsi:type="dcterms:W3CDTF">2017-06-07T15:11:00Z</dcterms:modified>
  <cp:contentStatus>508 compliant</cp:contentStatus>
</cp:coreProperties>
</file>