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36"/>
        <w:gridCol w:w="3809"/>
        <w:gridCol w:w="2970"/>
        <w:gridCol w:w="2545"/>
      </w:tblGrid>
      <w:tr w:rsidR="00D809CB" w:rsidRPr="00D809CB" w:rsidTr="00D809CB">
        <w:trPr>
          <w:trHeight w:val="375"/>
        </w:trPr>
        <w:tc>
          <w:tcPr>
            <w:tcW w:w="1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9CB" w:rsidRPr="00D809CB" w:rsidRDefault="00D809CB" w:rsidP="002E5568">
            <w:pPr>
              <w:spacing w:after="120" w:line="240" w:lineRule="auto"/>
              <w:rPr>
                <w:b/>
                <w:sz w:val="16"/>
                <w:szCs w:val="16"/>
              </w:rPr>
            </w:pPr>
          </w:p>
        </w:tc>
      </w:tr>
      <w:tr w:rsidR="00D809CB" w:rsidRPr="00D809CB" w:rsidTr="00D809CB">
        <w:trPr>
          <w:trHeight w:val="375"/>
        </w:trPr>
        <w:tc>
          <w:tcPr>
            <w:tcW w:w="14760" w:type="dxa"/>
            <w:gridSpan w:val="4"/>
            <w:tcBorders>
              <w:top w:val="single" w:sz="4" w:space="0" w:color="auto"/>
            </w:tcBorders>
          </w:tcPr>
          <w:p w:rsidR="00D809CB" w:rsidRPr="00D809CB" w:rsidRDefault="00D809CB" w:rsidP="002E5568">
            <w:pPr>
              <w:spacing w:after="0"/>
              <w:jc w:val="center"/>
              <w:rPr>
                <w:b/>
                <w:sz w:val="16"/>
                <w:szCs w:val="16"/>
              </w:rPr>
            </w:pPr>
            <w:bookmarkStart w:id="0" w:name="_GoBack"/>
            <w:r w:rsidRPr="00D809CB">
              <w:rPr>
                <w:b/>
                <w:sz w:val="16"/>
                <w:szCs w:val="16"/>
              </w:rPr>
              <w:t>National State-Based Tobacco Control Programs Logic Model</w:t>
            </w:r>
            <w:bookmarkEnd w:id="0"/>
          </w:p>
        </w:tc>
      </w:tr>
      <w:tr w:rsidR="00D809CB" w:rsidRPr="00D809CB" w:rsidTr="00D809CB">
        <w:trPr>
          <w:trHeight w:val="375"/>
        </w:trPr>
        <w:tc>
          <w:tcPr>
            <w:tcW w:w="14760" w:type="dxa"/>
            <w:gridSpan w:val="4"/>
          </w:tcPr>
          <w:p w:rsidR="00D809CB" w:rsidRPr="00D809CB" w:rsidRDefault="00D809CB" w:rsidP="002E5568">
            <w:pPr>
              <w:spacing w:after="0"/>
              <w:rPr>
                <w:b/>
                <w:sz w:val="16"/>
                <w:szCs w:val="16"/>
              </w:rPr>
            </w:pPr>
            <w:r w:rsidRPr="00D809C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B9F1E" wp14:editId="6F141032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164465</wp:posOffset>
                      </wp:positionV>
                      <wp:extent cx="250825" cy="274320"/>
                      <wp:effectExtent l="57150" t="19050" r="34925" b="49530"/>
                      <wp:wrapNone/>
                      <wp:docPr id="4" name="Down Arrow 4" descr="Down 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" cy="2743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11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" o:spid="_x0000_s1026" type="#_x0000_t67" alt="Down arrow" style="position:absolute;margin-left:225.9pt;margin-top:12.95pt;width:19.7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" adj="13875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  <w:r w:rsidRPr="00D809CB">
              <w:rPr>
                <w:b/>
                <w:sz w:val="16"/>
                <w:szCs w:val="16"/>
              </w:rPr>
              <w:t>Inputs: CDC funding, training, technical assistance, and consultation on evidence-based strategies and activities, surveillance and epidemiology, and program evaluation</w:t>
            </w:r>
          </w:p>
        </w:tc>
      </w:tr>
      <w:tr w:rsidR="00D809CB" w:rsidRPr="00D809CB" w:rsidTr="00D809CB">
        <w:tblPrEx>
          <w:tblLook w:val="04A0" w:firstRow="1" w:lastRow="0" w:firstColumn="1" w:lastColumn="0" w:noHBand="0" w:noVBand="1"/>
        </w:tblPrEx>
        <w:tc>
          <w:tcPr>
            <w:tcW w:w="5436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Evidence-Based  Strategies and Activities</w:t>
            </w:r>
          </w:p>
        </w:tc>
        <w:tc>
          <w:tcPr>
            <w:tcW w:w="3809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Short-Term Outcomes (Years 1 – 2)</w:t>
            </w:r>
          </w:p>
        </w:tc>
        <w:tc>
          <w:tcPr>
            <w:tcW w:w="2970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Intermediate Outcomes (Years 2 – 4)</w:t>
            </w:r>
          </w:p>
        </w:tc>
        <w:tc>
          <w:tcPr>
            <w:tcW w:w="2545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Long Term Outcomes (Year 5)</w:t>
            </w:r>
          </w:p>
        </w:tc>
      </w:tr>
      <w:tr w:rsidR="00D809CB" w:rsidRPr="00D809CB" w:rsidTr="00D809CB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5436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D809CB">
              <w:rPr>
                <w:b/>
                <w:sz w:val="16"/>
                <w:szCs w:val="16"/>
                <w:u w:val="single"/>
              </w:rPr>
              <w:t>State and Community Interventions</w:t>
            </w:r>
          </w:p>
          <w:p w:rsidR="00D809CB" w:rsidRPr="00D809CB" w:rsidRDefault="00D809CB" w:rsidP="002E5568">
            <w:pPr>
              <w:pStyle w:val="NoSpacing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Engage partners, mobilize communities, and develop coalitions</w:t>
            </w:r>
          </w:p>
          <w:p w:rsidR="00D809CB" w:rsidRPr="00D809CB" w:rsidRDefault="00D809CB" w:rsidP="002E5568">
            <w:pPr>
              <w:pStyle w:val="NoSpacing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Coordinate and collaborate across programs, agencies, and stakeholder groups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color w:val="000000"/>
                <w:sz w:val="16"/>
                <w:szCs w:val="16"/>
              </w:rPr>
              <w:t>- Inform and educate leaders, decision makers and the public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Strengthen community-based organization capacity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Implement/support evidence based, culturally appropriate state/local interventions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D809CB">
              <w:rPr>
                <w:b/>
                <w:sz w:val="16"/>
                <w:szCs w:val="16"/>
                <w:u w:val="single"/>
              </w:rPr>
              <w:t>Mass-Reach Health Communication Interventions</w:t>
            </w:r>
            <w:r w:rsidRPr="00D809CB">
              <w:rPr>
                <w:sz w:val="16"/>
                <w:szCs w:val="16"/>
                <w:u w:val="single"/>
              </w:rPr>
              <w:t xml:space="preserve"> 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 xml:space="preserve">- Plan, implement, and evaluate </w:t>
            </w:r>
            <w:r w:rsidRPr="00D809CB">
              <w:rPr>
                <w:rFonts w:eastAsia="Times New Roman"/>
                <w:sz w:val="16"/>
                <w:szCs w:val="16"/>
                <w:lang w:eastAsia="ja-JP"/>
              </w:rPr>
              <w:t>health communication and counter-marketing campaigns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rFonts w:eastAsia="Times New Roman"/>
                <w:sz w:val="16"/>
                <w:szCs w:val="16"/>
                <w:lang w:eastAsia="ja-JP"/>
              </w:rPr>
              <w:t>- Support media engagement efforts</w:t>
            </w:r>
          </w:p>
          <w:p w:rsidR="00D809CB" w:rsidRPr="00D809CB" w:rsidRDefault="00D809CB" w:rsidP="002E5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ja-JP"/>
              </w:rPr>
            </w:pPr>
            <w:r w:rsidRPr="00D809CB">
              <w:rPr>
                <w:sz w:val="16"/>
                <w:szCs w:val="16"/>
              </w:rPr>
              <w:t xml:space="preserve">- Expand, leverage and localize CDC media campaigns, </w:t>
            </w:r>
            <w:r w:rsidRPr="00D809CB">
              <w:rPr>
                <w:i/>
                <w:sz w:val="16"/>
                <w:szCs w:val="16"/>
              </w:rPr>
              <w:t>Surgeon General Reports</w:t>
            </w:r>
            <w:r w:rsidRPr="00D809CB">
              <w:rPr>
                <w:sz w:val="16"/>
                <w:szCs w:val="16"/>
              </w:rPr>
              <w:t>, and other science/evidence-based publications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D809CB">
              <w:rPr>
                <w:b/>
                <w:sz w:val="16"/>
                <w:szCs w:val="16"/>
                <w:u w:val="single"/>
              </w:rPr>
              <w:t>Cessation Interventions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Promote health systems change</w:t>
            </w:r>
          </w:p>
          <w:p w:rsidR="00D809CB" w:rsidRPr="00D809CB" w:rsidRDefault="00D809CB" w:rsidP="002E5568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Educate decision makers about the benefits of comprehensive insurance coverage and evidence-based cessation treatments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Ma</w:t>
            </w:r>
            <w:r>
              <w:rPr>
                <w:sz w:val="16"/>
                <w:szCs w:val="16"/>
              </w:rPr>
              <w:t xml:space="preserve">intain a state quitline/support </w:t>
            </w:r>
            <w:r w:rsidRPr="00D809CB">
              <w:rPr>
                <w:sz w:val="16"/>
                <w:szCs w:val="16"/>
              </w:rPr>
              <w:t>state quitline capacity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D809CB">
              <w:rPr>
                <w:b/>
                <w:sz w:val="16"/>
                <w:szCs w:val="16"/>
                <w:u w:val="single"/>
              </w:rPr>
              <w:t xml:space="preserve">Surveillance and Evaluation </w:t>
            </w:r>
          </w:p>
          <w:p w:rsidR="00D809CB" w:rsidRPr="00D809CB" w:rsidRDefault="00D809CB" w:rsidP="002E5568">
            <w:pPr>
              <w:pStyle w:val="NoSpacing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Develop an evaluation plan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color w:val="000000"/>
                <w:sz w:val="16"/>
                <w:szCs w:val="16"/>
              </w:rPr>
              <w:t>- Collect, analyze and disseminate state and community-specific data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Use data to identify disparate populations and inform public health action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color w:val="000000"/>
                <w:sz w:val="16"/>
                <w:szCs w:val="16"/>
              </w:rPr>
              <w:t>- Monitor pro-tobacco influences and inform and educate leaders, decision makers and the public</w:t>
            </w:r>
          </w:p>
          <w:p w:rsidR="00D809CB" w:rsidRPr="00D809CB" w:rsidRDefault="00D809CB" w:rsidP="002E5568">
            <w:pPr>
              <w:pStyle w:val="NoSpacing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Develop/submit success stories and evaluation reports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D809CB">
              <w:rPr>
                <w:b/>
                <w:sz w:val="16"/>
                <w:szCs w:val="16"/>
                <w:u w:val="single"/>
              </w:rPr>
              <w:t>Infrastructure, Administration and Management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 xml:space="preserve">- Develop and maintain infrastructure aligned with the five core components of the Component Model of Infrastructure (networked partnerships, multilevel leadership, engaged data, managed resources, responsive planning) </w:t>
            </w:r>
          </w:p>
          <w:p w:rsidR="00D809CB" w:rsidRPr="00D809CB" w:rsidRDefault="00D809CB" w:rsidP="002E5568">
            <w:pPr>
              <w:pStyle w:val="NoSpacing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- Provide ongoing training and technical assistance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color w:val="000000"/>
                <w:sz w:val="16"/>
                <w:szCs w:val="16"/>
              </w:rPr>
              <w:t>- Award and monitor subrecipient contracts and grants</w:t>
            </w:r>
          </w:p>
          <w:p w:rsidR="00D809CB" w:rsidRPr="00D809CB" w:rsidRDefault="00D809CB" w:rsidP="002E5568">
            <w:pPr>
              <w:pStyle w:val="NoSpacing"/>
              <w:rPr>
                <w:color w:val="000000"/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 xml:space="preserve">- </w:t>
            </w:r>
            <w:r w:rsidRPr="00D809CB">
              <w:rPr>
                <w:color w:val="000000"/>
                <w:sz w:val="16"/>
                <w:szCs w:val="16"/>
              </w:rPr>
              <w:t>Develop and maintain a fiscal management system</w:t>
            </w:r>
          </w:p>
        </w:tc>
        <w:tc>
          <w:tcPr>
            <w:tcW w:w="3809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public-private partnerships addressing tobacco control, tobacco-related disparities and health equity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public and decision-maker knowledge about the dangers of tobacco use, exposure to SHS, and tobacco-related disparities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public and decision-maker awareness of effective tobacco control interventions, strategies and social norm change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pStyle w:val="NoSpacing"/>
              <w:rPr>
                <w:b/>
                <w:sz w:val="16"/>
                <w:szCs w:val="16"/>
              </w:rPr>
            </w:pPr>
            <w:r w:rsidRPr="00D809C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E473F" wp14:editId="71C02A1B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368935</wp:posOffset>
                      </wp:positionV>
                      <wp:extent cx="296545" cy="231140"/>
                      <wp:effectExtent l="19050" t="57150" r="46355" b="73660"/>
                      <wp:wrapNone/>
                      <wp:docPr id="2" name="Right Arrow 2" descr="right 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31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76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alt="right arrow" style="position:absolute;margin-left:173.35pt;margin-top:29.05pt;width:23.3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" adj="13390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  <w:r w:rsidRPr="00D809CB">
              <w:rPr>
                <w:b/>
                <w:sz w:val="16"/>
                <w:szCs w:val="16"/>
              </w:rPr>
              <w:t>Increased implementation and enforcement of interventions and strategies to support quitting, reduce exposure to SHS, and decrease access and availability of tobacco products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health communication interventions and messages to reach populations disproportionately affected by tobacco use, exposure to SHS, and tobacco-related disparities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health care system changes to promote and support cessation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public awareness/support/awareness of actions to increase access to and utilization of evidence-based cessation treatments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capacity to collect, analyze, and disseminate data related to tobacco-related disparities and health equity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or maintained state health department infrastructure and capacity to support a state-based tobacco control program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Decreased exposure to pro-tobacco messages and availability of tobacco products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awareness of pro-tobacco influence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Decreased susceptibility to experimentation with tobacco products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public compliance with tobacco control policies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C2F23" wp14:editId="7849501E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-3175</wp:posOffset>
                      </wp:positionV>
                      <wp:extent cx="280670" cy="231775"/>
                      <wp:effectExtent l="19050" t="57150" r="43180" b="73025"/>
                      <wp:wrapNone/>
                      <wp:docPr id="1" name="Right Arrow 1" descr="right 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31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63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" o:spid="_x0000_s1026" type="#_x0000_t13" alt="right arrow" style="position:absolute;margin-left:133.1pt;margin-top:-.25pt;width:22.1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" adj="12926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coverage by and utilization of comprehensive insurance coverage for evidence-based tobacco cessation treatments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quit attempts among current tobacco users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successful cessation among current tobacco users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sz w:val="16"/>
                <w:szCs w:val="16"/>
              </w:rPr>
              <w:t>Increased development of innovative and/or promising practices that contribute to the tobacco control evidence-base</w:t>
            </w: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Increased implementation of evidence-based interventions and strategies that address vulnerable and underserved populations</w:t>
            </w:r>
          </w:p>
        </w:tc>
        <w:tc>
          <w:tcPr>
            <w:tcW w:w="2545" w:type="dxa"/>
            <w:shd w:val="clear" w:color="auto" w:fill="auto"/>
          </w:tcPr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NTCP Goal 1: Decreased initiation of tobacco use among youth and young adults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NTCP Goal 2: Decreased exposure to SHS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 xml:space="preserve">NTCP Goal 3: Decreased tobacco use among adults and youth </w:t>
            </w: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809CB" w:rsidRPr="00D809CB" w:rsidRDefault="00D809CB" w:rsidP="002E5568">
            <w:pPr>
              <w:spacing w:after="0" w:line="240" w:lineRule="auto"/>
              <w:rPr>
                <w:sz w:val="16"/>
                <w:szCs w:val="16"/>
              </w:rPr>
            </w:pPr>
            <w:r w:rsidRPr="00D809CB">
              <w:rPr>
                <w:b/>
                <w:sz w:val="16"/>
                <w:szCs w:val="16"/>
              </w:rPr>
              <w:t>NTCP Goal 4: Decreased tobacco-related disparities</w:t>
            </w:r>
          </w:p>
        </w:tc>
      </w:tr>
    </w:tbl>
    <w:p w:rsidR="00DC57CC" w:rsidRPr="00D809CB" w:rsidRDefault="00D809CB">
      <w:pPr>
        <w:rPr>
          <w:sz w:val="16"/>
          <w:szCs w:val="16"/>
        </w:rPr>
      </w:pPr>
      <w:r w:rsidRPr="00D809CB">
        <w:rPr>
          <w:sz w:val="18"/>
          <w:szCs w:val="18"/>
        </w:rPr>
        <w:t>*</w:t>
      </w:r>
      <w:r w:rsidRPr="00D809CB">
        <w:rPr>
          <w:sz w:val="16"/>
          <w:szCs w:val="16"/>
        </w:rPr>
        <w:t xml:space="preserve">Bolded text </w:t>
      </w:r>
      <w:proofErr w:type="gramStart"/>
      <w:r w:rsidRPr="00D809CB">
        <w:rPr>
          <w:sz w:val="16"/>
          <w:szCs w:val="16"/>
        </w:rPr>
        <w:t>indicate</w:t>
      </w:r>
      <w:proofErr w:type="gramEnd"/>
      <w:r w:rsidRPr="00D809CB">
        <w:rPr>
          <w:sz w:val="16"/>
          <w:szCs w:val="16"/>
        </w:rPr>
        <w:t xml:space="preserve"> outcomes awardees will be held accountable for</w:t>
      </w:r>
      <w:r w:rsidR="00DF1CCD">
        <w:rPr>
          <w:sz w:val="16"/>
          <w:szCs w:val="16"/>
        </w:rPr>
        <w:t>.</w:t>
      </w:r>
    </w:p>
    <w:sectPr w:rsidR="00DC57CC" w:rsidRPr="00D809CB" w:rsidSect="00D809CB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CB" w:rsidRDefault="00D809CB" w:rsidP="00D809CB">
      <w:pPr>
        <w:spacing w:after="0" w:line="240" w:lineRule="auto"/>
      </w:pPr>
      <w:r>
        <w:separator/>
      </w:r>
    </w:p>
  </w:endnote>
  <w:endnote w:type="continuationSeparator" w:id="0">
    <w:p w:rsidR="00D809CB" w:rsidRDefault="00D809CB" w:rsidP="00D8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CB" w:rsidRDefault="00D809CB" w:rsidP="00D809CB">
      <w:pPr>
        <w:spacing w:after="0" w:line="240" w:lineRule="auto"/>
      </w:pPr>
      <w:r>
        <w:separator/>
      </w:r>
    </w:p>
  </w:footnote>
  <w:footnote w:type="continuationSeparator" w:id="0">
    <w:p w:rsidR="00D809CB" w:rsidRDefault="00D809CB" w:rsidP="00D80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CB"/>
    <w:rsid w:val="00183A00"/>
    <w:rsid w:val="004004B4"/>
    <w:rsid w:val="00B55735"/>
    <w:rsid w:val="00D809CB"/>
    <w:rsid w:val="00DC57CC"/>
    <w:rsid w:val="00D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D809C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809C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8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D809C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809C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8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2A1D-3518-4435-9CBA-9DD12927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DP15-1509 National State-Based Tobacco Control Programs Logic Model</vt:lpstr>
    </vt:vector>
  </TitlesOfParts>
  <Company>Centers for Disease Control and Prevention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DP15-1509 National State-Based Tobacco Control Programs Logic Model</dc:title>
  <dc:subject>DP15-1509 National State-Based Tobacco Control Programs Logic Model</dc:subject>
  <dc:creator>CDC</dc:creator>
  <cp:keywords>National State-Based Tobacco Control Programs Logic Model, strategies, activities, interventions, outcomes, Mass-Reach Health Communicaiton, cessation, surveillance, partnerships, tobacco control, second-hand smoke, health department, treatments</cp:keywords>
  <cp:lastModifiedBy>Evans, Darren (CDC/ONDIEH/NCCDPHP) (CTR)</cp:lastModifiedBy>
  <cp:revision>4</cp:revision>
  <dcterms:created xsi:type="dcterms:W3CDTF">2014-08-27T17:02:00Z</dcterms:created>
  <dcterms:modified xsi:type="dcterms:W3CDTF">2014-08-28T14:35:00Z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