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55" w:type="dxa"/>
        <w:tblInd w:w="0" w:type="dxa"/>
        <w:tblLook w:val="04A0" w:firstRow="1" w:lastRow="0" w:firstColumn="1" w:lastColumn="0" w:noHBand="0" w:noVBand="1"/>
      </w:tblPr>
      <w:tblGrid>
        <w:gridCol w:w="3258"/>
        <w:gridCol w:w="7097"/>
      </w:tblGrid>
      <w:tr w:rsidR="002E05CF" w:rsidRPr="0005024D" w14:paraId="2226ED8D" w14:textId="77777777" w:rsidTr="00E925B7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6F4A" w14:textId="77777777" w:rsidR="002E05CF" w:rsidRPr="0005024D" w:rsidRDefault="002E0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05024D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42C0" w14:textId="77777777" w:rsidR="002E05CF" w:rsidRDefault="002E0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24D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  <w:p w14:paraId="64BF838F" w14:textId="77777777" w:rsidR="001718DD" w:rsidRPr="0005024D" w:rsidRDefault="001718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5F80" w:rsidRPr="0005024D" w14:paraId="5FBA17EF" w14:textId="77777777" w:rsidTr="00E619E5">
        <w:trPr>
          <w:trHeight w:val="288"/>
        </w:trPr>
        <w:tc>
          <w:tcPr>
            <w:tcW w:w="10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0394" w14:textId="77777777" w:rsidR="00565F80" w:rsidRPr="001718DD" w:rsidRDefault="00565F80" w:rsidP="00565F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Company Information</w:t>
            </w:r>
          </w:p>
        </w:tc>
      </w:tr>
      <w:tr w:rsidR="002E05CF" w:rsidRPr="0005024D" w14:paraId="74F20A94" w14:textId="77777777" w:rsidTr="00E925B7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1D7F" w14:textId="77777777" w:rsidR="002E05CF" w:rsidRPr="0005024D" w:rsidRDefault="002E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HHE No.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334D" w14:textId="77777777" w:rsidR="002E05CF" w:rsidRPr="0005024D" w:rsidRDefault="002E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Corresponds to the health hazard evaluation (HHE) number of the report.</w:t>
            </w:r>
          </w:p>
        </w:tc>
      </w:tr>
      <w:tr w:rsidR="002E05CF" w:rsidRPr="0005024D" w14:paraId="22D32490" w14:textId="77777777" w:rsidTr="00E925B7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D405" w14:textId="77777777" w:rsidR="002E05CF" w:rsidRPr="0005024D" w:rsidRDefault="002E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Hyperlink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E67DC" w14:textId="77777777" w:rsidR="002E05CF" w:rsidRPr="0005024D" w:rsidRDefault="002E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 xml:space="preserve">If hyperlink to report </w:t>
            </w:r>
            <w:r w:rsidR="006C7F8D">
              <w:rPr>
                <w:rFonts w:ascii="Times New Roman" w:hAnsi="Times New Roman" w:cs="Times New Roman"/>
                <w:sz w:val="24"/>
                <w:szCs w:val="24"/>
              </w:rPr>
              <w:t xml:space="preserve">is </w:t>
            </w: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 xml:space="preserve">not included, HHE report can be requested by e-mailing </w:t>
            </w:r>
            <w:hyperlink r:id="rId7" w:history="1">
              <w:r w:rsidR="006C7F8D" w:rsidRPr="00CE4A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HHERequestHelp@cdc.gov</w:t>
              </w:r>
            </w:hyperlink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05CF" w:rsidRPr="0005024D" w14:paraId="1B3591EB" w14:textId="77777777" w:rsidTr="00E925B7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6049" w14:textId="77777777" w:rsidR="002E05CF" w:rsidRPr="0005024D" w:rsidRDefault="002E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OSHA Region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9E4C" w14:textId="77777777" w:rsidR="002E05CF" w:rsidRPr="0005024D" w:rsidRDefault="002E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 xml:space="preserve">Identifies Occupational Safety and Health Administration (OSHA) region where facility </w:t>
            </w:r>
            <w:r w:rsidR="006C7F8D">
              <w:rPr>
                <w:rFonts w:ascii="Times New Roman" w:hAnsi="Times New Roman" w:cs="Times New Roman"/>
                <w:sz w:val="24"/>
                <w:szCs w:val="24"/>
              </w:rPr>
              <w:t xml:space="preserve">was </w:t>
            </w: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located. OSHA has 10 regions. Each region includes two or more states or territories. (</w:t>
            </w:r>
            <w:hyperlink r:id="rId8" w:history="1">
              <w:r w:rsidRPr="0005024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https://www.osha.gov/html/RAmap.html</w:t>
              </w:r>
            </w:hyperlink>
            <w:r w:rsidRPr="0005024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2E05CF" w:rsidRPr="0005024D" w14:paraId="5DF2F579" w14:textId="77777777" w:rsidTr="00E925B7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A2B5" w14:textId="77777777" w:rsidR="002E05CF" w:rsidRPr="0005024D" w:rsidRDefault="002E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FEC1" w14:textId="77777777" w:rsidR="002E05CF" w:rsidRPr="0005024D" w:rsidRDefault="002E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 xml:space="preserve">Identifies the U.S. state or territory where the facility was located. </w:t>
            </w:r>
          </w:p>
        </w:tc>
      </w:tr>
      <w:tr w:rsidR="002E05CF" w:rsidRPr="0005024D" w14:paraId="79F11A88" w14:textId="77777777" w:rsidTr="00E925B7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081C" w14:textId="77777777" w:rsidR="002E05CF" w:rsidRPr="0005024D" w:rsidRDefault="002E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NAICS Code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FC40" w14:textId="77777777" w:rsidR="002E05CF" w:rsidRPr="0005024D" w:rsidRDefault="002E05CF" w:rsidP="006C7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 xml:space="preserve">The North American Industry Classification System (NAICS) code for the facility. The NAICS code is the standard used to </w:t>
            </w:r>
            <w:r w:rsidR="006C7F8D">
              <w:rPr>
                <w:rFonts w:ascii="Times New Roman" w:hAnsi="Times New Roman" w:cs="Times New Roman"/>
                <w:sz w:val="24"/>
                <w:szCs w:val="24"/>
              </w:rPr>
              <w:t>categorizing</w:t>
            </w: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 xml:space="preserve"> business establishments for the purpose of collecting, analyzing, and publishing statistical data related to the U.S. business economy. (</w:t>
            </w:r>
            <w:hyperlink r:id="rId9" w:history="1">
              <w:r w:rsidRPr="0005024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http://www.census.gov/eos/www/naics/</w:t>
              </w:r>
            </w:hyperlink>
            <w:r w:rsidRPr="0005024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2E05CF" w:rsidRPr="0005024D" w14:paraId="3BBB249C" w14:textId="77777777" w:rsidTr="00E925B7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DA34" w14:textId="77777777" w:rsidR="002E05CF" w:rsidRPr="0005024D" w:rsidRDefault="002E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NORA Sector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CE0B" w14:textId="77777777" w:rsidR="002E05CF" w:rsidRPr="0005024D" w:rsidRDefault="002E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The NIOSH National Occupational Research Agenda (NORA) sector for the facility. NIOSH has aggregated the 20 sectors defined by NAICS into 10 NORA sectors. (</w:t>
            </w:r>
            <w:hyperlink r:id="rId10" w:history="1">
              <w:r w:rsidR="006C7F8D" w:rsidRPr="00CE4A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http://www.cdc.gov/niosh/nora/default.html</w:t>
              </w:r>
            </w:hyperlink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C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05CF" w:rsidRPr="0005024D" w14:paraId="2C6D4390" w14:textId="77777777" w:rsidTr="00E925B7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3962" w14:textId="77777777" w:rsidR="002E05CF" w:rsidRPr="0005024D" w:rsidRDefault="002E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Facility description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2DBB" w14:textId="77777777" w:rsidR="002E05CF" w:rsidRPr="0005024D" w:rsidRDefault="002E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 xml:space="preserve">Brief description of the type of work done at the facility.  </w:t>
            </w:r>
          </w:p>
        </w:tc>
      </w:tr>
      <w:tr w:rsidR="001718DD" w:rsidRPr="0005024D" w14:paraId="76C924BD" w14:textId="77777777" w:rsidTr="00E925B7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C2FA" w14:textId="77777777" w:rsidR="001718DD" w:rsidRPr="0005024D" w:rsidRDefault="0017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RPP (Y/N)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DE98" w14:textId="77777777" w:rsidR="001718DD" w:rsidRPr="0005024D" w:rsidRDefault="00AC3076" w:rsidP="00AC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Indicates whether the HHE report records the facility had a r</w:t>
            </w:r>
            <w:r w:rsidR="001718DD" w:rsidRPr="0005024D">
              <w:rPr>
                <w:rFonts w:ascii="Times New Roman" w:hAnsi="Times New Roman" w:cs="Times New Roman"/>
                <w:sz w:val="24"/>
                <w:szCs w:val="24"/>
              </w:rPr>
              <w:t>espiratory protection 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718DD" w:rsidRPr="0005024D">
              <w:rPr>
                <w:rFonts w:ascii="Times New Roman" w:hAnsi="Times New Roman" w:cs="Times New Roman"/>
                <w:sz w:val="24"/>
                <w:szCs w:val="24"/>
              </w:rPr>
              <w:t xml:space="preserve"> (“Y” = yes, “N” = no)</w:t>
            </w:r>
          </w:p>
        </w:tc>
      </w:tr>
      <w:tr w:rsidR="001718DD" w:rsidRPr="0005024D" w14:paraId="4674DA07" w14:textId="77777777" w:rsidTr="00E925B7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575B" w14:textId="77777777" w:rsidR="001718DD" w:rsidRPr="0005024D" w:rsidRDefault="0017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LSP (Y/N)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F8BA" w14:textId="77777777" w:rsidR="001718DD" w:rsidRPr="0005024D" w:rsidRDefault="00AC3076" w:rsidP="00AC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Indicates whether the HHE report records the facility had a l</w:t>
            </w:r>
            <w:r w:rsidR="001718DD" w:rsidRPr="0005024D">
              <w:rPr>
                <w:rFonts w:ascii="Times New Roman" w:hAnsi="Times New Roman" w:cs="Times New Roman"/>
                <w:sz w:val="24"/>
                <w:szCs w:val="24"/>
              </w:rPr>
              <w:t>ead surveillance 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718DD" w:rsidRPr="0005024D">
              <w:rPr>
                <w:rFonts w:ascii="Times New Roman" w:hAnsi="Times New Roman" w:cs="Times New Roman"/>
                <w:sz w:val="24"/>
                <w:szCs w:val="24"/>
              </w:rPr>
              <w:t xml:space="preserve"> (“Y” = yes, “N” = no)</w:t>
            </w:r>
          </w:p>
        </w:tc>
      </w:tr>
      <w:tr w:rsidR="00565F80" w:rsidRPr="0005024D" w14:paraId="3A200EBE" w14:textId="77777777" w:rsidTr="00823975">
        <w:trPr>
          <w:trHeight w:val="288"/>
        </w:trPr>
        <w:tc>
          <w:tcPr>
            <w:tcW w:w="10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0BF3" w14:textId="77777777" w:rsidR="00565F80" w:rsidRPr="0005024D" w:rsidRDefault="00565F80" w:rsidP="0056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Personal and Area Data</w:t>
            </w:r>
          </w:p>
        </w:tc>
      </w:tr>
      <w:tr w:rsidR="002E05CF" w:rsidRPr="0005024D" w14:paraId="6598FD9A" w14:textId="77777777" w:rsidTr="00E925B7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61F7" w14:textId="77777777" w:rsidR="002E05CF" w:rsidRPr="0005024D" w:rsidRDefault="002E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Area/Department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43DB" w14:textId="77777777" w:rsidR="002E05CF" w:rsidRPr="0005024D" w:rsidRDefault="002E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 xml:space="preserve">Work area or department where monitored employee worked. </w:t>
            </w:r>
          </w:p>
        </w:tc>
      </w:tr>
      <w:tr w:rsidR="002E05CF" w:rsidRPr="0005024D" w14:paraId="4B07EA9D" w14:textId="77777777" w:rsidTr="00E925B7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DD01" w14:textId="77777777" w:rsidR="002E05CF" w:rsidRPr="0005024D" w:rsidRDefault="002E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Job Title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43F5" w14:textId="77777777" w:rsidR="002E05CF" w:rsidRPr="0005024D" w:rsidRDefault="002E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Job title of monitored employee.</w:t>
            </w:r>
          </w:p>
        </w:tc>
      </w:tr>
      <w:tr w:rsidR="002E05CF" w:rsidRPr="0005024D" w14:paraId="2B851A53" w14:textId="77777777" w:rsidTr="00E925B7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765C" w14:textId="77777777" w:rsidR="002E05CF" w:rsidRPr="0005024D" w:rsidRDefault="00D85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  <w:r w:rsidR="002E05CF" w:rsidRPr="0005024D">
              <w:rPr>
                <w:rFonts w:ascii="Times New Roman" w:hAnsi="Times New Roman" w:cs="Times New Roman"/>
                <w:sz w:val="24"/>
                <w:szCs w:val="24"/>
              </w:rPr>
              <w:t>-generating activities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95B6C" w14:textId="77777777" w:rsidR="002E05CF" w:rsidRPr="0005024D" w:rsidRDefault="002E05CF" w:rsidP="00AC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 xml:space="preserve">Brief description of work activities that generated </w:t>
            </w:r>
            <w:r w:rsidR="00D85289" w:rsidRPr="0005024D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  <w:r w:rsidR="00AC3076">
              <w:rPr>
                <w:rFonts w:ascii="Times New Roman" w:hAnsi="Times New Roman" w:cs="Times New Roman"/>
                <w:sz w:val="24"/>
                <w:szCs w:val="24"/>
              </w:rPr>
              <w:t xml:space="preserve"> exposure</w:t>
            </w: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 xml:space="preserve"> for monitored employee. </w:t>
            </w:r>
          </w:p>
        </w:tc>
      </w:tr>
      <w:tr w:rsidR="002E05CF" w:rsidRPr="0005024D" w14:paraId="492FF20E" w14:textId="77777777" w:rsidTr="00E925B7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9EB2" w14:textId="77777777" w:rsidR="002E05CF" w:rsidRPr="0005024D" w:rsidRDefault="002E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Start date</w:t>
            </w: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E384" w14:textId="77777777" w:rsidR="002E05CF" w:rsidRPr="0005024D" w:rsidRDefault="002E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85289" w:rsidRPr="0005024D">
              <w:rPr>
                <w:rFonts w:ascii="Times New Roman" w:hAnsi="Times New Roman" w:cs="Times New Roman"/>
                <w:sz w:val="24"/>
                <w:szCs w:val="24"/>
              </w:rPr>
              <w:t>tart date (mm/dd/yyyy) for lead</w:t>
            </w: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 xml:space="preserve"> monitoring. </w:t>
            </w:r>
          </w:p>
        </w:tc>
      </w:tr>
      <w:tr w:rsidR="003D1D86" w:rsidRPr="0005024D" w14:paraId="21AF56BD" w14:textId="77777777" w:rsidTr="00E925B7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D847" w14:textId="77777777" w:rsidR="003D1D86" w:rsidRPr="0005024D" w:rsidRDefault="003D1D86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Duration (hh:mm)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09CA" w14:textId="77777777" w:rsidR="003D1D86" w:rsidRPr="0005024D" w:rsidRDefault="00AC3076" w:rsidP="00AC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D1D86" w:rsidRPr="0005024D">
              <w:rPr>
                <w:rFonts w:ascii="Times New Roman" w:hAnsi="Times New Roman" w:cs="Times New Roman"/>
                <w:sz w:val="24"/>
                <w:szCs w:val="24"/>
              </w:rPr>
              <w:t>uration of lead monitoring (hours and minutes)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that sample</w:t>
            </w:r>
            <w:r w:rsidR="003D1D86" w:rsidRPr="000502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D1D86" w:rsidRPr="0005024D" w14:paraId="7A395436" w14:textId="77777777" w:rsidTr="00E925B7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47A8" w14:textId="77777777" w:rsidR="003D1D86" w:rsidRPr="0005024D" w:rsidRDefault="003D1D86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End date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DE50" w14:textId="77777777" w:rsidR="003D1D86" w:rsidRPr="0005024D" w:rsidRDefault="003D1D86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End date (mm/dd/yyyy) for lead monitoring.</w:t>
            </w:r>
          </w:p>
        </w:tc>
      </w:tr>
      <w:tr w:rsidR="003D1D86" w:rsidRPr="0005024D" w14:paraId="6A6AE5E1" w14:textId="77777777" w:rsidTr="004E2372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A1D1" w14:textId="77777777" w:rsidR="003D1D86" w:rsidRPr="0005024D" w:rsidRDefault="003D1D86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Air 8-hr TWA Concentration (</w:t>
            </w: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mg/m³)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8EB2" w14:textId="77777777" w:rsidR="003D1D86" w:rsidRPr="0005024D" w:rsidRDefault="003D1D86" w:rsidP="003D1D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8 hour time-weighted average (TWA) concentration (mg/m³).</w:t>
            </w:r>
          </w:p>
        </w:tc>
      </w:tr>
      <w:tr w:rsidR="003D1D86" w:rsidRPr="0005024D" w14:paraId="3E8C2E4E" w14:textId="77777777" w:rsidTr="00941813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D0D1" w14:textId="77777777" w:rsidR="003D1D86" w:rsidRPr="0005024D" w:rsidRDefault="003D1D86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Air 10-hr TWA Concentration (</w:t>
            </w: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μg/m³)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A0DE" w14:textId="77777777" w:rsidR="003D1D86" w:rsidRPr="0005024D" w:rsidRDefault="003D1D86" w:rsidP="003D1D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10 hour time-weighted average concentration (µg/m³).</w:t>
            </w:r>
          </w:p>
        </w:tc>
      </w:tr>
      <w:tr w:rsidR="00565F80" w:rsidRPr="0005024D" w14:paraId="00ED8DA4" w14:textId="77777777" w:rsidTr="006D1988">
        <w:trPr>
          <w:trHeight w:val="288"/>
        </w:trPr>
        <w:tc>
          <w:tcPr>
            <w:tcW w:w="10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2F05" w14:textId="77777777" w:rsidR="00565F80" w:rsidRPr="00A837EA" w:rsidRDefault="00565F80" w:rsidP="0056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Personal Data</w:t>
            </w:r>
          </w:p>
        </w:tc>
      </w:tr>
      <w:tr w:rsidR="003D1D86" w:rsidRPr="0005024D" w14:paraId="62C33270" w14:textId="77777777" w:rsidTr="00E925B7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703F" w14:textId="77777777" w:rsidR="003D1D86" w:rsidRPr="0005024D" w:rsidRDefault="003D1D86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# of samples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E60C" w14:textId="77777777" w:rsidR="003D1D86" w:rsidRPr="0005024D" w:rsidRDefault="003D1D86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EA">
              <w:rPr>
                <w:rFonts w:ascii="Times New Roman" w:hAnsi="Times New Roman" w:cs="Times New Roman"/>
                <w:sz w:val="24"/>
                <w:szCs w:val="24"/>
              </w:rPr>
              <w:t xml:space="preserve">Number of employees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with lead measurements collected for a particular data point.</w:t>
            </w:r>
          </w:p>
        </w:tc>
      </w:tr>
      <w:tr w:rsidR="003D1D86" w:rsidRPr="0005024D" w14:paraId="6A2986F5" w14:textId="77777777" w:rsidTr="00E925B7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CD33" w14:textId="77777777" w:rsidR="003D1D86" w:rsidRPr="0005024D" w:rsidRDefault="003D1D86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FS/PS/T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7078D" w14:textId="58348B52" w:rsidR="003D1D86" w:rsidRPr="0005024D" w:rsidRDefault="003D1D86" w:rsidP="00F76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Indicates whether the duration of lead monitoring was full-shift “FS” (7 hours or more</w:t>
            </w:r>
            <w:r w:rsidR="00F762F1">
              <w:rPr>
                <w:rFonts w:ascii="Times New Roman" w:hAnsi="Times New Roman" w:cs="Times New Roman"/>
                <w:sz w:val="24"/>
                <w:szCs w:val="24"/>
              </w:rPr>
              <w:t xml:space="preserve"> for an 8 hour shift, for example</w:t>
            </w: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 xml:space="preserve">); partial-shift “PS” or a task-sample “T” (sample collected only during a specific </w:t>
            </w:r>
            <w:r w:rsidR="00F762F1">
              <w:rPr>
                <w:rFonts w:ascii="Times New Roman" w:hAnsi="Times New Roman" w:cs="Times New Roman"/>
                <w:sz w:val="24"/>
                <w:szCs w:val="24"/>
              </w:rPr>
              <w:t>short-term task</w:t>
            </w:r>
            <w:r w:rsidR="006C20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D1D86" w:rsidRPr="0005024D" w14:paraId="407D1C59" w14:textId="77777777" w:rsidTr="00E925B7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63EE" w14:textId="77777777" w:rsidR="003D1D86" w:rsidRPr="0005024D" w:rsidRDefault="003D1D86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Air </w:t>
            </w: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Concentration (μg/m³)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961F" w14:textId="77777777" w:rsidR="003D1D86" w:rsidRPr="0005024D" w:rsidRDefault="003D1D86" w:rsidP="00F76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 xml:space="preserve">Lead concentrations from </w:t>
            </w:r>
            <w:r w:rsidR="00F762F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ersonal </w:t>
            </w:r>
            <w:r w:rsidR="00F762F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reathing </w:t>
            </w:r>
            <w:r w:rsidR="00F762F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one air measurements on employees reported in micrograms per cubic meter </w:t>
            </w: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 xml:space="preserve">(μg/m³). </w:t>
            </w:r>
          </w:p>
        </w:tc>
      </w:tr>
      <w:tr w:rsidR="003D1D86" w:rsidRPr="0005024D" w14:paraId="721721A9" w14:textId="77777777" w:rsidTr="00E925B7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4A31" w14:textId="77777777" w:rsidR="003D1D86" w:rsidRPr="0005024D" w:rsidRDefault="003D1D86" w:rsidP="003D1D86">
            <w:pPr>
              <w:rPr>
                <w:rFonts w:ascii="Times New Roman" w:hAnsi="Times New Roman" w:cs="Times New Roman"/>
                <w:sz w:val="24"/>
                <w:szCs w:val="24"/>
                <w:lang w:val="es-PR"/>
              </w:rPr>
            </w:pPr>
            <w:r w:rsidRPr="0005024D">
              <w:rPr>
                <w:rFonts w:ascii="Times New Roman" w:hAnsi="Times New Roman" w:cs="Times New Roman"/>
                <w:sz w:val="24"/>
                <w:szCs w:val="24"/>
                <w:lang w:val="es-PR"/>
              </w:rPr>
              <w:t>Respirator use (Y/N/U)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F4B2" w14:textId="77777777" w:rsidR="003D1D86" w:rsidRPr="0005024D" w:rsidRDefault="003D1D86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Respirator use (“Y” = yes, “N” = no, or “U” = unknown).</w:t>
            </w:r>
          </w:p>
        </w:tc>
      </w:tr>
      <w:tr w:rsidR="003D1D86" w:rsidRPr="0005024D" w14:paraId="38FBE045" w14:textId="77777777" w:rsidTr="00E925B7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37CB" w14:textId="77777777" w:rsidR="003D1D86" w:rsidRPr="0005024D" w:rsidRDefault="003D1D86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Respirator type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5A0F" w14:textId="77777777" w:rsidR="003D1D86" w:rsidRPr="0005024D" w:rsidRDefault="003D1D86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 xml:space="preserve">Type of respirator used by the employees. </w:t>
            </w:r>
          </w:p>
        </w:tc>
      </w:tr>
      <w:tr w:rsidR="003D1D86" w:rsidRPr="0005024D" w14:paraId="39A626B6" w14:textId="77777777" w:rsidTr="00E925B7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836B" w14:textId="03821FD6" w:rsidR="003D1D86" w:rsidRPr="0005024D" w:rsidRDefault="003D1D86" w:rsidP="00691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Skin wipe/Clothing wipe/Respirator wipe (S/C/R)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7D3C" w14:textId="77777777" w:rsidR="003D1D86" w:rsidRPr="00A837EA" w:rsidRDefault="003D1D86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a wipe was used for a personal sample, was it used on the skin, clothing, or respirator</w:t>
            </w:r>
          </w:p>
        </w:tc>
      </w:tr>
      <w:tr w:rsidR="003D1D86" w:rsidRPr="0005024D" w14:paraId="003712BA" w14:textId="77777777" w:rsidTr="00E925B7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9319" w14:textId="77777777" w:rsidR="003D1D86" w:rsidRPr="0005024D" w:rsidRDefault="003D1D86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Surface </w:t>
            </w: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Concentration (μg/wipe)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1247" w14:textId="77777777" w:rsidR="003D1D86" w:rsidRPr="0005024D" w:rsidRDefault="003D1D86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Surface lead concentration measurements</w:t>
            </w: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 xml:space="preserve"> fro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surface wipes reported in micrograms per wipe </w:t>
            </w: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 xml:space="preserve">(μg/wipe). </w:t>
            </w:r>
          </w:p>
        </w:tc>
      </w:tr>
      <w:tr w:rsidR="003D1D86" w:rsidRPr="0005024D" w14:paraId="1FDB5E2A" w14:textId="77777777" w:rsidTr="00E925B7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1062" w14:textId="77777777" w:rsidR="003D1D86" w:rsidRPr="0005024D" w:rsidRDefault="003D1D86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Surface </w:t>
            </w: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Concentration (μg/pad)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5CE4" w14:textId="77777777" w:rsidR="003D1D86" w:rsidRPr="0005024D" w:rsidRDefault="003D1D86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Surface l</w:t>
            </w: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 xml:space="preserve">ead concentrations from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surface pads adhered to workers clothing</w:t>
            </w:r>
            <w:r w:rsidRPr="00A83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reported in micrograms per pad</w:t>
            </w: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 xml:space="preserve"> (μg/pad).</w:t>
            </w:r>
          </w:p>
        </w:tc>
      </w:tr>
      <w:tr w:rsidR="003D1D86" w:rsidRPr="0005024D" w14:paraId="17CBA4DC" w14:textId="77777777" w:rsidTr="00E925B7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21BD" w14:textId="77777777" w:rsidR="003D1D86" w:rsidRPr="0005024D" w:rsidRDefault="003D1D86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Surface Concentration (</w:t>
            </w: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μg/100 cm</w:t>
            </w:r>
            <w:r w:rsidRPr="000502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1724" w14:textId="77777777" w:rsidR="003D1D86" w:rsidRPr="0005024D" w:rsidRDefault="003D1D86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Surface lead concentration</w:t>
            </w: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 xml:space="preserve"> collected using a 100 square centimeter (cm</w:t>
            </w:r>
            <w:r w:rsidRPr="000502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template and reported in micrograms per 100 centimeters squared (</w:t>
            </w: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μg/100 cm</w:t>
            </w:r>
            <w:r w:rsidRPr="000502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1D86" w:rsidRPr="0005024D" w14:paraId="1F9D92DF" w14:textId="77777777" w:rsidTr="00E925B7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4B28" w14:textId="77777777" w:rsidR="003D1D86" w:rsidRPr="0005024D" w:rsidRDefault="003D1D86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Blood L</w:t>
            </w: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ead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Level</w:t>
            </w: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 xml:space="preserve"> (μg/dL)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496D" w14:textId="77777777" w:rsidR="003D1D86" w:rsidRPr="0005024D" w:rsidRDefault="003D1D86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 xml:space="preserve">Blood lead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levels</w:t>
            </w: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 xml:space="preserve"> collected from employees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NIOSH</w:t>
            </w: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 xml:space="preserve"> (μg/dL). </w:t>
            </w:r>
          </w:p>
        </w:tc>
      </w:tr>
      <w:tr w:rsidR="00565F80" w:rsidRPr="0005024D" w14:paraId="6B3499CB" w14:textId="77777777" w:rsidTr="004B0DB1">
        <w:trPr>
          <w:trHeight w:val="288"/>
        </w:trPr>
        <w:tc>
          <w:tcPr>
            <w:tcW w:w="10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384B" w14:textId="77777777" w:rsidR="00565F80" w:rsidRPr="0005024D" w:rsidRDefault="00565F80" w:rsidP="0056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Area Data</w:t>
            </w:r>
          </w:p>
        </w:tc>
      </w:tr>
      <w:tr w:rsidR="003D1D86" w:rsidRPr="0005024D" w14:paraId="4252745E" w14:textId="77777777" w:rsidTr="00E925B7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E706" w14:textId="77777777" w:rsidR="003D1D86" w:rsidRPr="0005024D" w:rsidRDefault="003D1D86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Air Concentration (</w:t>
            </w: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μg/m³)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A8C6" w14:textId="77777777" w:rsidR="003D1D86" w:rsidRPr="0005024D" w:rsidRDefault="003D1D86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 concentrations from area air sample measurements reported in micrograms per cubic meter (</w:t>
            </w: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μg/m³)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D1D86" w:rsidRPr="0005024D" w14:paraId="57DCB3DC" w14:textId="77777777" w:rsidTr="00E925B7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1C14" w14:textId="77777777" w:rsidR="003D1D86" w:rsidRPr="0005024D" w:rsidRDefault="003D1D86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Bulk Concentration (</w:t>
            </w: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μg/100 cm</w:t>
            </w:r>
            <w:r w:rsidRPr="000502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149D" w14:textId="77777777" w:rsidR="003D1D86" w:rsidRPr="0005024D" w:rsidRDefault="003D1D86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 concentration from a bulk sample of a surface at the workplace, reported in micrograms per 100 centimeters squared (</w:t>
            </w: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μg/100 cm</w:t>
            </w:r>
            <w:r w:rsidRPr="000502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1D86" w:rsidRPr="0005024D" w14:paraId="54D0866B" w14:textId="77777777" w:rsidTr="00E925B7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DD42" w14:textId="77777777" w:rsidR="003D1D86" w:rsidRPr="0005024D" w:rsidRDefault="003D1D86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Wipe Concentration (</w:t>
            </w: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μg/100 cm</w:t>
            </w:r>
            <w:r w:rsidRPr="000502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FAC1" w14:textId="77777777" w:rsidR="003D1D86" w:rsidRPr="0005024D" w:rsidRDefault="003D1D86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 concentration from a wipe sample from a surface at the workplace, reported in micrograms per 100 centimeters squared (</w:t>
            </w: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μg/100 cm</w:t>
            </w:r>
            <w:r w:rsidRPr="000502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D1D86" w:rsidRPr="0005024D" w14:paraId="1F5183EC" w14:textId="77777777" w:rsidTr="00E925B7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9B93" w14:textId="77777777" w:rsidR="003D1D86" w:rsidRPr="0005024D" w:rsidRDefault="003D1D86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Vacuum Concentration (</w:t>
            </w: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μg/100 cm</w:t>
            </w:r>
            <w:r w:rsidRPr="000502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3509" w14:textId="77777777" w:rsidR="003D1D86" w:rsidRPr="0005024D" w:rsidRDefault="003D1D86" w:rsidP="00F76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 concentration from a vacuum sample, reported in micrograms per 100 centimeters squared (</w:t>
            </w: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μg/100 cm</w:t>
            </w:r>
            <w:r w:rsidRPr="000502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1D86" w:rsidRPr="0005024D" w14:paraId="50747AEE" w14:textId="77777777" w:rsidTr="00E925B7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AC8F" w14:textId="77777777" w:rsidR="003D1D86" w:rsidRPr="0005024D" w:rsidRDefault="003D1D86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Wipe Concentration (</w:t>
            </w: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μg/wipe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A9CA" w14:textId="77777777" w:rsidR="003D1D86" w:rsidRPr="0005024D" w:rsidRDefault="003D1D86" w:rsidP="00F76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 concentration from a wipe sample of a surface, reported in micrograms per wipe (</w:t>
            </w: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μg/wipe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D1D86" w:rsidRPr="0005024D" w14:paraId="7DC47F91" w14:textId="77777777" w:rsidTr="00E925B7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E06B" w14:textId="77777777" w:rsidR="003D1D86" w:rsidRPr="0005024D" w:rsidRDefault="003D1D86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Wipe Concentration </w:t>
            </w: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(μg/sample)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282F" w14:textId="77777777" w:rsidR="003D1D86" w:rsidRPr="0005024D" w:rsidRDefault="003D1D86" w:rsidP="00F76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Lead concentration from a wipe sample of a surface, reported in micrograms per sample </w:t>
            </w: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(μg/sample).</w:t>
            </w:r>
          </w:p>
        </w:tc>
      </w:tr>
      <w:tr w:rsidR="003D1D86" w:rsidRPr="0005024D" w14:paraId="32350E9B" w14:textId="77777777" w:rsidTr="00E925B7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DE79" w14:textId="77777777" w:rsidR="003D1D86" w:rsidRPr="0005024D" w:rsidRDefault="003D1D86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Bulk Concentration </w:t>
            </w: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(μg/sample)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D174" w14:textId="77777777" w:rsidR="003D1D86" w:rsidRPr="0005024D" w:rsidRDefault="003D1D86" w:rsidP="00F76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Lead concentration from a bulk sample, reported in micrograms per sample </w:t>
            </w: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(μg/sample).</w:t>
            </w:r>
          </w:p>
        </w:tc>
      </w:tr>
      <w:tr w:rsidR="003D1D86" w:rsidRPr="0005024D" w14:paraId="5B2DD921" w14:textId="77777777" w:rsidTr="00E925B7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2461" w14:textId="77777777" w:rsidR="003D1D86" w:rsidRPr="0005024D" w:rsidRDefault="003D1D86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Bulk </w:t>
            </w: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Concentration (μg Pb/g material)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6F6F" w14:textId="77777777" w:rsidR="003D1D86" w:rsidRPr="0005024D" w:rsidRDefault="003D1D86" w:rsidP="00F76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ead concentration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from a bulk sample, reported in micrograms of Pb</w:t>
            </w: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 xml:space="preserve"> per grams of material (μg Pb/g material). </w:t>
            </w:r>
          </w:p>
        </w:tc>
      </w:tr>
      <w:tr w:rsidR="003D1D86" w:rsidRPr="0005024D" w14:paraId="562EC263" w14:textId="77777777" w:rsidTr="00E925B7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9EBC" w14:textId="77777777" w:rsidR="003D1D86" w:rsidRPr="0005024D" w:rsidRDefault="003D1D86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Percentage of lead by weight (% w/w)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3A4E" w14:textId="77777777" w:rsidR="003D1D86" w:rsidRPr="0005024D" w:rsidRDefault="003D1D86" w:rsidP="00F76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 concentration from a bulk sample, reported in w</w:t>
            </w: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>eigh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5024D">
              <w:rPr>
                <w:rFonts w:ascii="Times New Roman" w:hAnsi="Times New Roman" w:cs="Times New Roman"/>
                <w:sz w:val="24"/>
                <w:szCs w:val="24"/>
              </w:rPr>
              <w:t xml:space="preserve"> of lead per total sample measured in (% w/w). </w:t>
            </w:r>
          </w:p>
        </w:tc>
      </w:tr>
      <w:tr w:rsidR="006C070F" w:rsidRPr="0005024D" w14:paraId="00973952" w14:textId="77777777" w:rsidTr="00B866D5">
        <w:trPr>
          <w:trHeight w:val="288"/>
        </w:trPr>
        <w:tc>
          <w:tcPr>
            <w:tcW w:w="10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3A23" w14:textId="77777777" w:rsidR="006C070F" w:rsidRPr="006C070F" w:rsidRDefault="006C070F" w:rsidP="006C0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70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Additional Comments</w:t>
            </w:r>
          </w:p>
        </w:tc>
      </w:tr>
      <w:tr w:rsidR="006C070F" w:rsidRPr="0005024D" w14:paraId="491148D4" w14:textId="77777777" w:rsidTr="00FC679E">
        <w:trPr>
          <w:trHeight w:val="288"/>
        </w:trPr>
        <w:tc>
          <w:tcPr>
            <w:tcW w:w="10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B941" w14:textId="77777777" w:rsidR="006C070F" w:rsidRDefault="006C070F" w:rsidP="00935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“X” in a database field means that there was no data </w:t>
            </w:r>
            <w:r w:rsidR="00935E8E">
              <w:rPr>
                <w:rFonts w:ascii="Times New Roman" w:hAnsi="Times New Roman" w:cs="Times New Roman"/>
                <w:sz w:val="24"/>
                <w:szCs w:val="24"/>
              </w:rPr>
              <w:t>reported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that HHE.</w:t>
            </w:r>
          </w:p>
          <w:p w14:paraId="447EA1C8" w14:textId="03BBB2E6" w:rsidR="006C2066" w:rsidRDefault="006C2066" w:rsidP="00935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“ND” means “not detected.”</w:t>
            </w:r>
          </w:p>
        </w:tc>
      </w:tr>
      <w:tr w:rsidR="006C070F" w:rsidRPr="0005024D" w14:paraId="721AB688" w14:textId="77777777" w:rsidTr="006F22BC">
        <w:trPr>
          <w:trHeight w:val="288"/>
        </w:trPr>
        <w:tc>
          <w:tcPr>
            <w:tcW w:w="10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C3C9" w14:textId="77777777" w:rsidR="006C070F" w:rsidRDefault="006C070F" w:rsidP="00935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Brackets around a value in the database means that value </w:t>
            </w:r>
            <w:r w:rsidR="00935E8E">
              <w:rPr>
                <w:rFonts w:ascii="Times New Roman" w:hAnsi="Times New Roman" w:cs="Times New Roman"/>
                <w:sz w:val="24"/>
                <w:szCs w:val="24"/>
              </w:rPr>
              <w:t>has more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uncertainty</w:t>
            </w:r>
            <w:r w:rsidR="00935E8E">
              <w:rPr>
                <w:rFonts w:ascii="Times New Roman" w:hAnsi="Times New Roman" w:cs="Times New Roman"/>
                <w:sz w:val="24"/>
                <w:szCs w:val="24"/>
              </w:rPr>
              <w:t xml:space="preserve"> associated with it, usually because it lies between the minimum detectable concentration and the minimum quantifiable concentration.</w:t>
            </w:r>
          </w:p>
        </w:tc>
      </w:tr>
      <w:tr w:rsidR="008124E7" w:rsidRPr="0005024D" w14:paraId="00835D91" w14:textId="77777777" w:rsidTr="006F22BC">
        <w:trPr>
          <w:trHeight w:val="288"/>
        </w:trPr>
        <w:tc>
          <w:tcPr>
            <w:tcW w:w="10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684F" w14:textId="25C5D6BB" w:rsidR="008124E7" w:rsidRDefault="00935E8E" w:rsidP="00C0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Over the course of time these HHEs were conducted, a wide range of units of measure were used. </w:t>
            </w:r>
            <w:r w:rsidR="008124E7">
              <w:rPr>
                <w:rFonts w:ascii="Times New Roman" w:hAnsi="Times New Roman" w:cs="Times New Roman"/>
                <w:sz w:val="24"/>
                <w:szCs w:val="24"/>
              </w:rPr>
              <w:t xml:space="preserve">Many of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concentration </w:t>
            </w:r>
            <w:r w:rsidR="008124E7">
              <w:rPr>
                <w:rFonts w:ascii="Times New Roman" w:hAnsi="Times New Roman" w:cs="Times New Roman"/>
                <w:sz w:val="24"/>
                <w:szCs w:val="24"/>
              </w:rPr>
              <w:t xml:space="preserve">values in this database were converted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their original units of measure </w:t>
            </w:r>
            <w:r w:rsidR="00811357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those most commonly used currently</w:t>
            </w:r>
            <w:r w:rsidR="008124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069C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124E7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verify</w:t>
            </w:r>
            <w:r w:rsidR="008124E7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="00D21752">
              <w:rPr>
                <w:rFonts w:ascii="Times New Roman" w:hAnsi="Times New Roman" w:cs="Times New Roman"/>
                <w:sz w:val="24"/>
                <w:szCs w:val="24"/>
              </w:rPr>
              <w:t xml:space="preserve">original </w:t>
            </w:r>
            <w:r w:rsidR="008124E7">
              <w:rPr>
                <w:rFonts w:ascii="Times New Roman" w:hAnsi="Times New Roman" w:cs="Times New Roman"/>
                <w:sz w:val="24"/>
                <w:szCs w:val="24"/>
              </w:rPr>
              <w:t xml:space="preserve">units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measure </w:t>
            </w:r>
            <w:r w:rsidR="008124E7">
              <w:rPr>
                <w:rFonts w:ascii="Times New Roman" w:hAnsi="Times New Roman" w:cs="Times New Roman"/>
                <w:sz w:val="24"/>
                <w:szCs w:val="24"/>
              </w:rPr>
              <w:t>for a certain value or set of values, refer to the HHE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report</w:t>
            </w:r>
            <w:r w:rsidR="008124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AA9465D" w14:textId="77777777" w:rsidR="00406A17" w:rsidRPr="0005024D" w:rsidRDefault="00406A17" w:rsidP="00935E8E">
      <w:pPr>
        <w:rPr>
          <w:rFonts w:ascii="Times New Roman" w:hAnsi="Times New Roman" w:cs="Times New Roman"/>
          <w:sz w:val="24"/>
          <w:szCs w:val="24"/>
        </w:rPr>
      </w:pPr>
    </w:p>
    <w:sectPr w:rsidR="00406A17" w:rsidRPr="00050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5CF"/>
    <w:rsid w:val="0005024D"/>
    <w:rsid w:val="000B3332"/>
    <w:rsid w:val="000D2577"/>
    <w:rsid w:val="001375AC"/>
    <w:rsid w:val="001718DD"/>
    <w:rsid w:val="001C479B"/>
    <w:rsid w:val="002E05CF"/>
    <w:rsid w:val="003D1D86"/>
    <w:rsid w:val="00406A17"/>
    <w:rsid w:val="004948C4"/>
    <w:rsid w:val="00565F80"/>
    <w:rsid w:val="005702F5"/>
    <w:rsid w:val="005B1BC8"/>
    <w:rsid w:val="0062341F"/>
    <w:rsid w:val="00691A02"/>
    <w:rsid w:val="006C070F"/>
    <w:rsid w:val="006C2066"/>
    <w:rsid w:val="006C7F8D"/>
    <w:rsid w:val="00745E13"/>
    <w:rsid w:val="007C798A"/>
    <w:rsid w:val="007D4B99"/>
    <w:rsid w:val="00802E5D"/>
    <w:rsid w:val="00811357"/>
    <w:rsid w:val="008124E7"/>
    <w:rsid w:val="008E4070"/>
    <w:rsid w:val="00935E8E"/>
    <w:rsid w:val="00946729"/>
    <w:rsid w:val="00A837EA"/>
    <w:rsid w:val="00AC3076"/>
    <w:rsid w:val="00AE7340"/>
    <w:rsid w:val="00C069CF"/>
    <w:rsid w:val="00C5787C"/>
    <w:rsid w:val="00C7418D"/>
    <w:rsid w:val="00CA36C4"/>
    <w:rsid w:val="00D21752"/>
    <w:rsid w:val="00D85289"/>
    <w:rsid w:val="00DE33C0"/>
    <w:rsid w:val="00E925B7"/>
    <w:rsid w:val="00F762F1"/>
    <w:rsid w:val="00F84469"/>
    <w:rsid w:val="00FC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11A0B"/>
  <w15:docId w15:val="{8C405F1A-870A-4C6A-9E66-00E997CB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05C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E05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62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62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62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2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62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2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0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ha.gov/html/RAmap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HHERequestHelp@cdc.gov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cdc.gov/niosh/nora/default.htm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census.gov/eos/www/nai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188FE7-43A4-4C5E-93B0-26018FDB6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DDA7A2-B173-4C6A-9B4D-95CA3DC18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2BD7B6-8DF6-4E64-85E6-9EEE0884A274}">
  <ds:schemaRefs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Alia El Burai Felix</dc:creator>
  <cp:lastModifiedBy>Ebert, Thomas (CDC/NIOSH/EID) (CTR)</cp:lastModifiedBy>
  <cp:revision>2</cp:revision>
  <dcterms:created xsi:type="dcterms:W3CDTF">2015-10-15T18:57:00Z</dcterms:created>
  <dcterms:modified xsi:type="dcterms:W3CDTF">2015-10-15T18:57:00Z</dcterms:modified>
</cp:coreProperties>
</file>